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80" w:lineRule="atLeast"/>
        <w:ind w:left="0" w:right="0"/>
        <w:jc w:val="center"/>
      </w:pPr>
      <w:r>
        <w:rPr>
          <w:rFonts w:ascii="方正小标宋简体" w:hAnsi="方正小标宋简体" w:eastAsia="方正小标宋简体" w:cs="方正小标宋简体"/>
          <w:i w:val="0"/>
          <w:iCs w:val="0"/>
          <w:caps w:val="0"/>
          <w:color w:val="000080"/>
          <w:spacing w:val="0"/>
          <w:sz w:val="44"/>
          <w:szCs w:val="44"/>
          <w:shd w:val="clear" w:fill="FFFFFF"/>
        </w:rPr>
        <w:t>中华人民共和国国务院令</w:t>
      </w:r>
    </w:p>
    <w:p>
      <w:pPr>
        <w:pStyle w:val="2"/>
        <w:keepNext w:val="0"/>
        <w:keepLines w:val="0"/>
        <w:widowControl/>
        <w:suppressLineNumbers w:val="0"/>
        <w:shd w:val="clear" w:fill="FFFFFF"/>
        <w:spacing w:before="0" w:beforeAutospacing="0" w:after="0" w:afterAutospacing="0" w:line="480" w:lineRule="atLeast"/>
        <w:ind w:left="0" w:right="0"/>
        <w:jc w:val="center"/>
      </w:pPr>
      <w:r>
        <w:rPr>
          <w:rFonts w:hint="default" w:ascii="Tahoma" w:hAnsi="Tahoma" w:eastAsia="Tahoma" w:cs="Tahoma"/>
          <w:i w:val="0"/>
          <w:iCs w:val="0"/>
          <w:caps w:val="0"/>
          <w:color w:val="000080"/>
          <w:spacing w:val="0"/>
          <w:sz w:val="27"/>
          <w:szCs w:val="27"/>
          <w:shd w:val="clear" w:fill="FFFFFF"/>
          <w:lang w:val="en-US"/>
        </w:rPr>
        <w:t> </w:t>
      </w:r>
      <w:r>
        <w:rPr>
          <w:rFonts w:hint="eastAsia" w:ascii="方正小标宋简体" w:hAnsi="方正小标宋简体" w:eastAsia="方正小标宋简体" w:cs="方正小标宋简体"/>
          <w:i w:val="0"/>
          <w:iCs w:val="0"/>
          <w:caps w:val="0"/>
          <w:color w:val="000080"/>
          <w:spacing w:val="0"/>
          <w:sz w:val="44"/>
          <w:szCs w:val="44"/>
          <w:shd w:val="clear" w:fill="FFFFFF"/>
        </w:rPr>
        <w:t>第</w:t>
      </w:r>
      <w:r>
        <w:rPr>
          <w:rFonts w:hint="eastAsia" w:ascii="方正小标宋简体" w:hAnsi="方正小标宋简体" w:eastAsia="方正小标宋简体" w:cs="方正小标宋简体"/>
          <w:i w:val="0"/>
          <w:iCs w:val="0"/>
          <w:caps w:val="0"/>
          <w:color w:val="000080"/>
          <w:spacing w:val="0"/>
          <w:sz w:val="44"/>
          <w:szCs w:val="44"/>
          <w:shd w:val="clear" w:fill="FFFFFF"/>
          <w:lang w:val="en-US"/>
        </w:rPr>
        <w:t>737</w:t>
      </w:r>
      <w:r>
        <w:rPr>
          <w:rFonts w:hint="eastAsia" w:ascii="方正小标宋简体" w:hAnsi="方正小标宋简体" w:eastAsia="方正小标宋简体" w:cs="方正小标宋简体"/>
          <w:i w:val="0"/>
          <w:iCs w:val="0"/>
          <w:caps w:val="0"/>
          <w:color w:val="000080"/>
          <w:spacing w:val="0"/>
          <w:sz w:val="44"/>
          <w:szCs w:val="44"/>
          <w:shd w:val="clear" w:fill="FFFFFF"/>
        </w:rPr>
        <w:t>号</w:t>
      </w:r>
    </w:p>
    <w:p>
      <w:pPr>
        <w:pStyle w:val="2"/>
        <w:keepNext w:val="0"/>
        <w:keepLines w:val="0"/>
        <w:widowControl/>
        <w:suppressLineNumbers w:val="0"/>
        <w:shd w:val="clear" w:fill="FFFFFF"/>
        <w:spacing w:before="0" w:beforeAutospacing="0" w:after="240" w:afterAutospacing="0" w:line="480" w:lineRule="atLeast"/>
        <w:ind w:left="0" w:right="0"/>
        <w:jc w:val="center"/>
      </w:pPr>
      <w:r>
        <w:rPr>
          <w:rFonts w:hint="default" w:ascii="Tahoma" w:hAnsi="Tahoma" w:eastAsia="Tahoma" w:cs="Tahoma"/>
          <w:i w:val="0"/>
          <w:iCs w:val="0"/>
          <w:caps w:val="0"/>
          <w:color w:val="000000"/>
          <w:spacing w:val="0"/>
          <w:sz w:val="27"/>
          <w:szCs w:val="27"/>
          <w:shd w:val="clear" w:fill="FFFFFF"/>
          <w:lang w:val="en-US"/>
        </w:rPr>
        <w:t> </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《防范和处置非法集资条例》已经</w:t>
      </w:r>
      <w:r>
        <w:rPr>
          <w:rFonts w:hint="default" w:ascii="Tahoma" w:hAnsi="Tahoma" w:eastAsia="Tahoma" w:cs="Tahoma"/>
          <w:i w:val="0"/>
          <w:iCs w:val="0"/>
          <w:caps w:val="0"/>
          <w:color w:val="000000"/>
          <w:spacing w:val="0"/>
          <w:sz w:val="27"/>
          <w:szCs w:val="27"/>
          <w:shd w:val="clear" w:fill="FFFFFF"/>
          <w:lang w:val="en-US"/>
        </w:rPr>
        <w:t>2020</w:t>
      </w:r>
      <w:r>
        <w:rPr>
          <w:rFonts w:hint="default" w:ascii="Tahoma" w:hAnsi="Tahoma" w:eastAsia="Tahoma" w:cs="Tahoma"/>
          <w:i w:val="0"/>
          <w:iCs w:val="0"/>
          <w:caps w:val="0"/>
          <w:color w:val="000000"/>
          <w:spacing w:val="0"/>
          <w:sz w:val="27"/>
          <w:szCs w:val="27"/>
          <w:shd w:val="clear" w:fill="FFFFFF"/>
        </w:rPr>
        <w:t>年</w:t>
      </w:r>
      <w:r>
        <w:rPr>
          <w:rFonts w:hint="default" w:ascii="Tahoma" w:hAnsi="Tahoma" w:eastAsia="Tahoma" w:cs="Tahoma"/>
          <w:i w:val="0"/>
          <w:iCs w:val="0"/>
          <w:caps w:val="0"/>
          <w:color w:val="000000"/>
          <w:spacing w:val="0"/>
          <w:sz w:val="27"/>
          <w:szCs w:val="27"/>
          <w:shd w:val="clear" w:fill="FFFFFF"/>
          <w:lang w:val="en-US"/>
        </w:rPr>
        <w:t>12</w:t>
      </w:r>
      <w:r>
        <w:rPr>
          <w:rFonts w:hint="default" w:ascii="Tahoma" w:hAnsi="Tahoma" w:eastAsia="Tahoma" w:cs="Tahoma"/>
          <w:i w:val="0"/>
          <w:iCs w:val="0"/>
          <w:caps w:val="0"/>
          <w:color w:val="000000"/>
          <w:spacing w:val="0"/>
          <w:sz w:val="27"/>
          <w:szCs w:val="27"/>
          <w:shd w:val="clear" w:fill="FFFFFF"/>
        </w:rPr>
        <w:t>月</w:t>
      </w:r>
      <w:r>
        <w:rPr>
          <w:rFonts w:hint="default" w:ascii="Tahoma" w:hAnsi="Tahoma" w:eastAsia="Tahoma" w:cs="Tahoma"/>
          <w:i w:val="0"/>
          <w:iCs w:val="0"/>
          <w:caps w:val="0"/>
          <w:color w:val="000000"/>
          <w:spacing w:val="0"/>
          <w:sz w:val="27"/>
          <w:szCs w:val="27"/>
          <w:shd w:val="clear" w:fill="FFFFFF"/>
          <w:lang w:val="en-US"/>
        </w:rPr>
        <w:t>21</w:t>
      </w:r>
      <w:r>
        <w:rPr>
          <w:rFonts w:hint="default" w:ascii="Tahoma" w:hAnsi="Tahoma" w:eastAsia="Tahoma" w:cs="Tahoma"/>
          <w:i w:val="0"/>
          <w:iCs w:val="0"/>
          <w:caps w:val="0"/>
          <w:color w:val="000000"/>
          <w:spacing w:val="0"/>
          <w:sz w:val="27"/>
          <w:szCs w:val="27"/>
          <w:shd w:val="clear" w:fill="FFFFFF"/>
        </w:rPr>
        <w:t>日国务院第</w:t>
      </w:r>
      <w:r>
        <w:rPr>
          <w:rFonts w:hint="default" w:ascii="Tahoma" w:hAnsi="Tahoma" w:eastAsia="Tahoma" w:cs="Tahoma"/>
          <w:i w:val="0"/>
          <w:iCs w:val="0"/>
          <w:caps w:val="0"/>
          <w:color w:val="000000"/>
          <w:spacing w:val="0"/>
          <w:sz w:val="27"/>
          <w:szCs w:val="27"/>
          <w:shd w:val="clear" w:fill="FFFFFF"/>
          <w:lang w:val="en-US"/>
        </w:rPr>
        <w:t>119</w:t>
      </w:r>
      <w:r>
        <w:rPr>
          <w:rFonts w:hint="default" w:ascii="Tahoma" w:hAnsi="Tahoma" w:eastAsia="Tahoma" w:cs="Tahoma"/>
          <w:i w:val="0"/>
          <w:iCs w:val="0"/>
          <w:caps w:val="0"/>
          <w:color w:val="000000"/>
          <w:spacing w:val="0"/>
          <w:sz w:val="27"/>
          <w:szCs w:val="27"/>
          <w:shd w:val="clear" w:fill="FFFFFF"/>
        </w:rPr>
        <w:t>次常务会议通过，现予公布，自</w:t>
      </w:r>
      <w:r>
        <w:rPr>
          <w:rFonts w:hint="default" w:ascii="Tahoma" w:hAnsi="Tahoma" w:eastAsia="Tahoma" w:cs="Tahoma"/>
          <w:i w:val="0"/>
          <w:iCs w:val="0"/>
          <w:caps w:val="0"/>
          <w:color w:val="000000"/>
          <w:spacing w:val="0"/>
          <w:sz w:val="27"/>
          <w:szCs w:val="27"/>
          <w:shd w:val="clear" w:fill="FFFFFF"/>
          <w:lang w:val="en-US"/>
        </w:rPr>
        <w:t>2021</w:t>
      </w:r>
      <w:r>
        <w:rPr>
          <w:rFonts w:hint="default" w:ascii="Tahoma" w:hAnsi="Tahoma" w:eastAsia="Tahoma" w:cs="Tahoma"/>
          <w:i w:val="0"/>
          <w:iCs w:val="0"/>
          <w:caps w:val="0"/>
          <w:color w:val="000000"/>
          <w:spacing w:val="0"/>
          <w:sz w:val="27"/>
          <w:szCs w:val="27"/>
          <w:shd w:val="clear" w:fill="FFFFFF"/>
        </w:rPr>
        <w:t>年</w:t>
      </w:r>
      <w:r>
        <w:rPr>
          <w:rFonts w:hint="default" w:ascii="Tahoma" w:hAnsi="Tahoma" w:eastAsia="Tahoma" w:cs="Tahoma"/>
          <w:i w:val="0"/>
          <w:iCs w:val="0"/>
          <w:caps w:val="0"/>
          <w:color w:val="000000"/>
          <w:spacing w:val="0"/>
          <w:sz w:val="27"/>
          <w:szCs w:val="27"/>
          <w:shd w:val="clear" w:fill="FFFFFF"/>
          <w:lang w:val="en-US"/>
        </w:rPr>
        <w:t>5</w:t>
      </w:r>
      <w:r>
        <w:rPr>
          <w:rFonts w:hint="default" w:ascii="Tahoma" w:hAnsi="Tahoma" w:eastAsia="Tahoma" w:cs="Tahoma"/>
          <w:i w:val="0"/>
          <w:iCs w:val="0"/>
          <w:caps w:val="0"/>
          <w:color w:val="000000"/>
          <w:spacing w:val="0"/>
          <w:sz w:val="27"/>
          <w:szCs w:val="27"/>
          <w:shd w:val="clear" w:fill="FFFFFF"/>
        </w:rPr>
        <w:t>月</w:t>
      </w:r>
      <w:r>
        <w:rPr>
          <w:rFonts w:hint="default" w:ascii="Tahoma" w:hAnsi="Tahoma" w:eastAsia="Tahoma" w:cs="Tahoma"/>
          <w:i w:val="0"/>
          <w:iCs w:val="0"/>
          <w:caps w:val="0"/>
          <w:color w:val="000000"/>
          <w:spacing w:val="0"/>
          <w:sz w:val="27"/>
          <w:szCs w:val="27"/>
          <w:shd w:val="clear" w:fill="FFFFFF"/>
          <w:lang w:val="en-US"/>
        </w:rPr>
        <w:t>1</w:t>
      </w:r>
      <w:r>
        <w:rPr>
          <w:rFonts w:hint="default" w:ascii="Tahoma" w:hAnsi="Tahoma" w:eastAsia="Tahoma" w:cs="Tahoma"/>
          <w:i w:val="0"/>
          <w:iCs w:val="0"/>
          <w:caps w:val="0"/>
          <w:color w:val="000000"/>
          <w:spacing w:val="0"/>
          <w:sz w:val="27"/>
          <w:szCs w:val="27"/>
          <w:shd w:val="clear" w:fill="FFFFFF"/>
        </w:rPr>
        <w:t>日起施行。</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lang w:val="en-US"/>
        </w:rPr>
        <w:t> </w:t>
      </w:r>
    </w:p>
    <w:p>
      <w:pPr>
        <w:pStyle w:val="2"/>
        <w:keepNext w:val="0"/>
        <w:keepLines w:val="0"/>
        <w:widowControl/>
        <w:suppressLineNumbers w:val="0"/>
        <w:shd w:val="clear" w:fill="FFFFFF"/>
        <w:spacing w:before="0" w:beforeAutospacing="0" w:after="240" w:afterAutospacing="0" w:line="540" w:lineRule="atLeast"/>
        <w:ind w:left="0" w:right="0"/>
        <w:jc w:val="right"/>
      </w:pPr>
      <w:bookmarkStart w:id="0" w:name="_GoBack"/>
      <w:bookmarkEnd w:id="0"/>
      <w:r>
        <w:rPr>
          <w:rFonts w:hint="default" w:ascii="Tahoma" w:hAnsi="Tahoma" w:eastAsia="Tahoma" w:cs="Tahoma"/>
          <w:i w:val="0"/>
          <w:iCs w:val="0"/>
          <w:caps w:val="0"/>
          <w:color w:val="000000"/>
          <w:spacing w:val="0"/>
          <w:sz w:val="27"/>
          <w:szCs w:val="27"/>
          <w:shd w:val="clear" w:fill="FFFFFF"/>
        </w:rPr>
        <w:t>总理</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李克强</w:t>
      </w:r>
    </w:p>
    <w:p>
      <w:pPr>
        <w:pStyle w:val="2"/>
        <w:keepNext w:val="0"/>
        <w:keepLines w:val="0"/>
        <w:widowControl/>
        <w:suppressLineNumbers w:val="0"/>
        <w:shd w:val="clear" w:fill="FFFFFF"/>
        <w:spacing w:before="0" w:beforeAutospacing="0" w:after="0" w:afterAutospacing="0" w:line="540" w:lineRule="atLeast"/>
        <w:ind w:left="0" w:right="0"/>
        <w:jc w:val="right"/>
      </w:pPr>
      <w:r>
        <w:rPr>
          <w:rFonts w:hint="default" w:ascii="Times New Roman" w:hAnsi="Times New Roman" w:eastAsia="Tahoma" w:cs="Times New Roman"/>
          <w:i w:val="0"/>
          <w:iCs w:val="0"/>
          <w:caps w:val="0"/>
          <w:color w:val="000000"/>
          <w:spacing w:val="0"/>
          <w:sz w:val="27"/>
          <w:szCs w:val="27"/>
          <w:shd w:val="clear" w:fill="FFFFFF"/>
          <w:lang w:val="en-US"/>
        </w:rPr>
        <w:t>2021</w:t>
      </w:r>
      <w:r>
        <w:rPr>
          <w:rFonts w:hint="default" w:ascii="Tahoma" w:hAnsi="Tahoma" w:eastAsia="Tahoma" w:cs="Tahoma"/>
          <w:i w:val="0"/>
          <w:iCs w:val="0"/>
          <w:caps w:val="0"/>
          <w:color w:val="000000"/>
          <w:spacing w:val="0"/>
          <w:sz w:val="27"/>
          <w:szCs w:val="27"/>
          <w:shd w:val="clear" w:fill="FFFFFF"/>
        </w:rPr>
        <w:t>年</w:t>
      </w:r>
      <w:r>
        <w:rPr>
          <w:rFonts w:hint="default" w:ascii="Times New Roman" w:hAnsi="Times New Roman" w:eastAsia="Tahoma" w:cs="Times New Roman"/>
          <w:i w:val="0"/>
          <w:iCs w:val="0"/>
          <w:caps w:val="0"/>
          <w:color w:val="000000"/>
          <w:spacing w:val="0"/>
          <w:sz w:val="27"/>
          <w:szCs w:val="27"/>
          <w:shd w:val="clear" w:fill="FFFFFF"/>
          <w:lang w:val="en-US"/>
        </w:rPr>
        <w:t>1</w:t>
      </w:r>
      <w:r>
        <w:rPr>
          <w:rFonts w:hint="default" w:ascii="Tahoma" w:hAnsi="Tahoma" w:eastAsia="Tahoma" w:cs="Tahoma"/>
          <w:i w:val="0"/>
          <w:iCs w:val="0"/>
          <w:caps w:val="0"/>
          <w:color w:val="000000"/>
          <w:spacing w:val="0"/>
          <w:sz w:val="27"/>
          <w:szCs w:val="27"/>
          <w:shd w:val="clear" w:fill="FFFFFF"/>
        </w:rPr>
        <w:t>月</w:t>
      </w:r>
      <w:r>
        <w:rPr>
          <w:rFonts w:hint="default" w:ascii="Times New Roman" w:hAnsi="Times New Roman" w:eastAsia="Tahoma" w:cs="Times New Roman"/>
          <w:i w:val="0"/>
          <w:iCs w:val="0"/>
          <w:caps w:val="0"/>
          <w:color w:val="000000"/>
          <w:spacing w:val="0"/>
          <w:sz w:val="27"/>
          <w:szCs w:val="27"/>
          <w:shd w:val="clear" w:fill="FFFFFF"/>
          <w:lang w:val="en-US"/>
        </w:rPr>
        <w:t>26</w:t>
      </w:r>
      <w:r>
        <w:rPr>
          <w:rFonts w:hint="default" w:ascii="Tahoma" w:hAnsi="Tahoma" w:eastAsia="Tahoma" w:cs="Tahoma"/>
          <w:i w:val="0"/>
          <w:iCs w:val="0"/>
          <w:caps w:val="0"/>
          <w:color w:val="000000"/>
          <w:spacing w:val="0"/>
          <w:sz w:val="27"/>
          <w:szCs w:val="27"/>
          <w:shd w:val="clear" w:fill="FFFFFF"/>
        </w:rPr>
        <w:t>日</w:t>
      </w:r>
    </w:p>
    <w:p>
      <w:pPr>
        <w:pStyle w:val="2"/>
        <w:keepNext w:val="0"/>
        <w:keepLines w:val="0"/>
        <w:widowControl/>
        <w:suppressLineNumbers w:val="0"/>
        <w:shd w:val="clear" w:fill="FFFFFF"/>
        <w:spacing w:before="0" w:beforeAutospacing="0" w:after="240" w:afterAutospacing="0" w:line="480" w:lineRule="atLeast"/>
        <w:ind w:left="0" w:right="0" w:firstLine="480"/>
        <w:jc w:val="center"/>
      </w:pPr>
      <w:r>
        <w:rPr>
          <w:rFonts w:hint="default" w:ascii="Tahoma" w:hAnsi="Tahoma" w:eastAsia="Tahoma" w:cs="Tahoma"/>
          <w:i w:val="0"/>
          <w:iCs w:val="0"/>
          <w:caps w:val="0"/>
          <w:color w:val="000000"/>
          <w:spacing w:val="0"/>
          <w:sz w:val="27"/>
          <w:szCs w:val="27"/>
          <w:shd w:val="clear" w:fill="FFFFFF"/>
          <w:lang w:val="en-US"/>
        </w:rPr>
        <w:t> </w:t>
      </w:r>
    </w:p>
    <w:p>
      <w:pPr>
        <w:pStyle w:val="2"/>
        <w:keepNext w:val="0"/>
        <w:keepLines w:val="0"/>
        <w:widowControl/>
        <w:suppressLineNumbers w:val="0"/>
        <w:shd w:val="clear" w:fill="FFFFFF"/>
        <w:spacing w:before="0" w:beforeAutospacing="0" w:after="240" w:afterAutospacing="0" w:line="480" w:lineRule="atLeast"/>
        <w:ind w:left="0" w:right="0" w:firstLine="480"/>
        <w:jc w:val="center"/>
      </w:pPr>
      <w:r>
        <w:rPr>
          <w:rFonts w:hint="default" w:ascii="Tahoma" w:hAnsi="Tahoma" w:eastAsia="Tahoma" w:cs="Tahoma"/>
          <w:i w:val="0"/>
          <w:iCs w:val="0"/>
          <w:caps w:val="0"/>
          <w:color w:val="000000"/>
          <w:spacing w:val="0"/>
          <w:sz w:val="27"/>
          <w:szCs w:val="27"/>
          <w:shd w:val="clear" w:fill="FFFFFF"/>
          <w:lang w:val="en-US"/>
        </w:rPr>
        <w:t> </w:t>
      </w:r>
    </w:p>
    <w:p>
      <w:pPr>
        <w:pStyle w:val="2"/>
        <w:keepNext w:val="0"/>
        <w:keepLines w:val="0"/>
        <w:widowControl/>
        <w:suppressLineNumbers w:val="0"/>
        <w:shd w:val="clear" w:fill="FFFFFF"/>
        <w:spacing w:before="0" w:beforeAutospacing="0" w:after="0" w:afterAutospacing="0" w:line="480" w:lineRule="atLeast"/>
        <w:ind w:left="0" w:right="0" w:firstLine="480"/>
        <w:jc w:val="both"/>
      </w:pPr>
      <w:r>
        <w:rPr>
          <w:rStyle w:val="5"/>
          <w:rFonts w:hint="eastAsia" w:ascii="宋体" w:hAnsi="宋体" w:eastAsia="宋体" w:cs="宋体"/>
          <w:i w:val="0"/>
          <w:iCs w:val="0"/>
          <w:caps w:val="0"/>
          <w:color w:val="000000"/>
          <w:spacing w:val="0"/>
          <w:sz w:val="27"/>
          <w:szCs w:val="27"/>
          <w:shd w:val="clear" w:fill="FFFFFF"/>
        </w:rPr>
        <w:t>第一章</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总</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则</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第一条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为了防范和处置非法集资，保护社会公众合法权益，防范化解金融风险，维护经济秩序和社会稳定，制定本条例。</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本条例所称非法集资，是指未经国务院金融管理部门依法许可或者违反国家金融管理规定，以许诺还本付息或者给予其他投资回报等方式，向不特定对象吸收资金的行为。</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非法集资的防范以及行政机关对非法集资的处置，适用本条例。法律、行政法规对非法从事银行、证券、保险、外汇等金融业务活动另有规定的，适用其规定。</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本条例所称国务院金融管理部门，是指中国人民银行、国务院金融监督管理机构和国务院外汇管理部门。</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本条例所称非法集资人，是指发起、主导或者组织实施非法集资的单位和个人；所称非法集资协助人，是指明知是非法集资而为其提供帮助并获取经济利益的单位和个人。</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第四条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国家禁止任何形式的非法集资，对非法集资坚持防范为主、打早打小、综合治理、稳妥处置的原则。</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第五条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行业主管部门、监管部门应当按照职责分工，负责本行业、领域非法集资的防范和配合处置工作。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第六条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第七条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各级人民政府应当合理保障防范和处置非法集资工作相关经费，并列入本级预算。</w:t>
      </w:r>
    </w:p>
    <w:p>
      <w:pPr>
        <w:pStyle w:val="2"/>
        <w:keepNext w:val="0"/>
        <w:keepLines w:val="0"/>
        <w:widowControl/>
        <w:suppressLineNumbers w:val="0"/>
        <w:shd w:val="clear" w:fill="FFFFFF"/>
        <w:spacing w:before="0" w:beforeAutospacing="0" w:after="0" w:afterAutospacing="0" w:line="480" w:lineRule="atLeast"/>
        <w:ind w:left="0" w:right="0" w:firstLine="480"/>
        <w:jc w:val="both"/>
      </w:pPr>
      <w:r>
        <w:rPr>
          <w:rStyle w:val="5"/>
          <w:rFonts w:hint="eastAsia" w:ascii="宋体" w:hAnsi="宋体" w:eastAsia="宋体" w:cs="宋体"/>
          <w:i w:val="0"/>
          <w:iCs w:val="0"/>
          <w:caps w:val="0"/>
          <w:color w:val="000000"/>
          <w:spacing w:val="0"/>
          <w:sz w:val="27"/>
          <w:szCs w:val="27"/>
          <w:shd w:val="clear" w:fill="FFFFFF"/>
        </w:rPr>
        <w:t>第二章</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防</w:t>
      </w:r>
      <w:r>
        <w:rPr>
          <w:rStyle w:val="5"/>
          <w:rFonts w:hint="eastAsia" w:ascii="宋体" w:hAnsi="宋体" w:eastAsia="宋体" w:cs="宋体"/>
          <w:i w:val="0"/>
          <w:iCs w:val="0"/>
          <w:caps w:val="0"/>
          <w:color w:val="000000"/>
          <w:spacing w:val="0"/>
          <w:sz w:val="27"/>
          <w:szCs w:val="27"/>
          <w:shd w:val="clear" w:fill="FFFFFF"/>
          <w:lang w:val="en-US"/>
        </w:rPr>
        <w:t>  </w:t>
      </w:r>
      <w:r>
        <w:rPr>
          <w:rFonts w:hint="eastAsia" w:ascii="宋体" w:hAnsi="宋体" w:eastAsia="宋体" w:cs="宋体"/>
          <w:i w:val="0"/>
          <w:iCs w:val="0"/>
          <w:caps w:val="0"/>
          <w:color w:val="000000"/>
          <w:spacing w:val="0"/>
          <w:sz w:val="27"/>
          <w:szCs w:val="27"/>
          <w:shd w:val="clear" w:fill="FFFFFF"/>
        </w:rPr>
        <w:t>范</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第八条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地方各级人民政府应当建立非法集资监测预警机制，纳入社会治安综合治理体系，发挥网格化管理和基层群众自治组织的作用，运用大数据等现代信息技术手段，加强对非法集资的监测预警。</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行业主管部门、监管部门应当强化日常监督管理，负责本行业、领域非法集资的风险排查和监测预警。</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联席会议应当建立健全全国非法集资监测预警体系，推动建设国家监测预警平台，促进地方、部门信息共享，加强非法集资风险研判，及时预警提示。</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第九条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互联网信息服务提供者应当加强对用户发布信息的管理，不得制作、复制、发布、传播涉嫌非法集资的信息。发现涉嫌非法集资的信息，应当保存有关记录，并向处置非法集资牵头部门报告。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第十一条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除国家另有规定外，任何单位和个人不得发布包含集资内容的广告或者以其他方式向社会公众进行集资宣传。</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市场监督管理部门会同处置非法集资牵头部门加强对涉嫌非法集资广告的监测。经处置非法集资牵头部门组织认定为非法集资的，市场监督管理部门应当及时依法查处相关非法集资广告。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广告经营者、广告发布者应当依照法律、行政法规查验相关证明文件，核对广告内容。对没有相关证明文件且包含集资内容的广告，广告经营者不得提供设计、制作、代理服务，广告发布者不得发布。</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第十二条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第十三条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金融机构、非银行支付机构应当履行下列防范非法集资的义务：</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（一）建立健全内部管理制度，禁止分支机构和员工参与非法集资，防止他人利用其经营场所、销售渠道从事非法集资；</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（二）加强对社会公众防范非法集资的宣传教育，在经营场所醒目位置设置警示标识；</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（三）依法严格执行大额交易和可疑交易报告制度，对涉嫌非法集资资金异常流动的相关账户进行分析识别，并将有关情况及时报告所在地国务院金融管理部门分支机构、派出机构和处置非法集资牵头部门。</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第十四条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行业协会、商会应当加强行业自律管理、自我约束，督促、引导成员积极防范非法集资，不组织、不协助、不参与非法集资。</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第十五条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联席会议应当建立中央和地方上下联动的防范非法集资宣传教育工作机制，推动全国范围内防范非法集资宣传教育工作。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行业主管部门、监管部门以及行业协会、商会应当根据本行业、领域非法集资风险特点，有针对性地开展防范非法集资宣传教育活动。</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新闻媒体应当开展防范非法集资公益宣传，并依法对非法集资进行舆论监督。</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第十六条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对涉嫌非法集资行为，任何单位和个人有权向处置非法集资牵头部门或者其他有关部门举报。</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国家鼓励对涉嫌非法集资行为进行举报。处置非法集资牵头部门以及其他有关部门应当公开举报电话和邮箱等举报方式、在政府网站设置举报专栏，接受举报，及时依法处理，并为举报人保密。</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第十七条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居民委员会、村民委员会发现所在区域有涉嫌非法集资行为的，应当向当地人民政府、处置非法集资牵头部门或者其他有关部门报告。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第十八条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处置非法集资牵头部门和行业主管部门、监管部门发现本行政区域或者本行业、领域可能存在非法集资风险的，有权对相关单位和个人进行警示约谈，责令整改。</w:t>
      </w:r>
    </w:p>
    <w:p>
      <w:pPr>
        <w:pStyle w:val="2"/>
        <w:keepNext w:val="0"/>
        <w:keepLines w:val="0"/>
        <w:widowControl/>
        <w:suppressLineNumbers w:val="0"/>
        <w:shd w:val="clear" w:fill="FFFFFF"/>
        <w:spacing w:before="0" w:beforeAutospacing="0" w:after="0" w:afterAutospacing="0" w:line="480" w:lineRule="atLeast"/>
        <w:ind w:left="0" w:right="0" w:firstLine="480"/>
        <w:jc w:val="both"/>
      </w:pPr>
      <w:r>
        <w:rPr>
          <w:rStyle w:val="5"/>
          <w:rFonts w:hint="eastAsia" w:ascii="宋体" w:hAnsi="宋体" w:eastAsia="宋体" w:cs="宋体"/>
          <w:i w:val="0"/>
          <w:iCs w:val="0"/>
          <w:caps w:val="0"/>
          <w:color w:val="000000"/>
          <w:spacing w:val="0"/>
          <w:sz w:val="27"/>
          <w:szCs w:val="27"/>
          <w:shd w:val="clear" w:fill="FFFFFF"/>
        </w:rPr>
        <w:t>第三章</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处</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置</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第十九条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对本行政区域内的下列行为，涉嫌非法集资的，处置非法集资牵头部门应当及时组织有关行业主管部门、监管部门以及国务院金融管理部门分支机构、派出机构进行调查认定：</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（一）设立互联网企业、投资及投资咨询类企业、各类交易场所或者平台、农民专业合作社、资金互助组织以及其他组织吸收资金；</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（二）以发行或者转让股权、债权，募集基金，销售保险产品，或者以从事各类资产管理、虚拟货币、融资租赁业务等名义吸收资金；</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（三）在销售商品、提供服务、投资项目等商业活动中，以承诺给付货币、股权、实物等回报的形式吸收资金；</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（四）违反法律、行政法规或者国家有关规定，通过大众传播媒介、即时通信工具或者其他方式公开传播吸收资金信息；</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（五）其他涉嫌非法集资的行为。</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处置非法集资牵头部门对组织调查认定职责存在争议的，由其共同的上级处置非法集资牵头部门确定；对跨省、自治区、直辖市组织调查认定职责存在争议的，由联席会议确定。</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第二十一条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处置非法集资牵头部门组织调查涉嫌非法集资行为，可以采取下列措施：</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（一）进入涉嫌非法集资的场所进行调查取证；</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（二）询问与被调查事件有关的单位和个人，要求其对有关事项作出说明；</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（三）查阅、复制与被调查事件有关的文件、资料、电子数据等，对可能被转移、隐匿或者毁损的文件、资料、电子设备等予以封存；</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（四）经处置非法集资牵头部门主要负责人批准，依法查询涉嫌非法集资的有关账户。</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调查人员不得少于</w:t>
      </w:r>
      <w:r>
        <w:rPr>
          <w:rFonts w:hint="default" w:ascii="Tahoma" w:hAnsi="Tahoma" w:eastAsia="Tahoma" w:cs="Tahoma"/>
          <w:i w:val="0"/>
          <w:iCs w:val="0"/>
          <w:caps w:val="0"/>
          <w:color w:val="000000"/>
          <w:spacing w:val="0"/>
          <w:sz w:val="27"/>
          <w:szCs w:val="27"/>
          <w:shd w:val="clear" w:fill="FFFFFF"/>
          <w:lang w:val="en-US"/>
        </w:rPr>
        <w:t>2</w:t>
      </w:r>
      <w:r>
        <w:rPr>
          <w:rFonts w:hint="default" w:ascii="Tahoma" w:hAnsi="Tahoma" w:eastAsia="Tahoma" w:cs="Tahoma"/>
          <w:i w:val="0"/>
          <w:iCs w:val="0"/>
          <w:caps w:val="0"/>
          <w:color w:val="000000"/>
          <w:spacing w:val="0"/>
          <w:sz w:val="27"/>
          <w:szCs w:val="27"/>
          <w:shd w:val="clear" w:fill="FFFFFF"/>
        </w:rPr>
        <w:t>人，并应当出示执法证件。</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与被调查事件有关的单位和个人应当配合调查，不得拒绝、阻碍。</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第二十二条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处置非法集资牵头部门对涉嫌非法集资行为组织调查，有权要求暂停集资行为，通知市场监督管理部门或者其他有关部门暂停为涉嫌非法集资的有关单位办理设立、变更或者注销登记。</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第二十三条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经调查认定属于非法集资的，处置非法集资牵头部门应当责令非法集资人、非法集资协助人立即停止有关非法活动；发现涉嫌犯罪的，应当按照规定及时将案件移送公安机关，并配合做好相关工作。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行政机关对非法集资行为的调查认定，不是依法追究刑事责任的必经程序。</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第二十四条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根据处置非法集资的需要，处置非法集资牵头部门可以采取下列措施：</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（一）查封有关经营场所，查封、扣押有关资产；</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（二）责令非法集资人、非法集资协助人追回、变价出售有关资产用于清退集资资金；</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采取前款第一项、第二项规定的措施，应当经处置非法集资牵头部门主要负责人批准。</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第二十五条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非法集资人、非法集资协助人应当向集资参与人清退集资资金。清退过程应当接受处置非法集资牵头部门监督。</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任何单位和个人不得从非法集资中获取经济利益。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因参与非法集资受到的损失，由集资参与人自行承担。</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第二十六条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清退集资资金来源包括：</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（一）非法集资资金余额；</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（二）非法集资资金的收益或者转换的其他资产及其收益；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（三）非法集资人及其股东、实际控制人、董事、监事、高级管理人员和其他相关人员从非法集资中获得的经济利益；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（四）非法集资人隐匿、转移的非法集资资金或者相关资产；</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（五）在非法集资中获得的广告费、代言费、代理费、好处费、返点费、佣金、提成等经济利益；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（六）可以作为清退集资资金的其他资产。</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第二十七条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为非法集资设立的企业、个体工商户和农民专业合作社，由市场监督管理部门吊销营业执照。为非法集资设立的网站、开发的移动应用程序等互联网应用，由电信主管部门依法予以关闭。</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第二十八条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国务院金融管理部门及其分支机构、派出机构，地方人民政府有关部门以及其他有关单位和个人，对处置非法集资工作应当给予支持、配合。</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任何单位和个人不得阻挠、妨碍处置非法集资工作。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第二十九条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处置非法集资过程中，有关地方人民政府应当采取有效措施维护社会稳定。</w:t>
      </w:r>
    </w:p>
    <w:p>
      <w:pPr>
        <w:pStyle w:val="2"/>
        <w:keepNext w:val="0"/>
        <w:keepLines w:val="0"/>
        <w:widowControl/>
        <w:suppressLineNumbers w:val="0"/>
        <w:shd w:val="clear" w:fill="FFFFFF"/>
        <w:spacing w:before="0" w:beforeAutospacing="0" w:after="0" w:afterAutospacing="0" w:line="480" w:lineRule="atLeast"/>
        <w:ind w:left="0" w:right="0" w:firstLine="480"/>
        <w:jc w:val="both"/>
      </w:pPr>
      <w:r>
        <w:rPr>
          <w:rStyle w:val="5"/>
          <w:rFonts w:hint="eastAsia" w:ascii="宋体" w:hAnsi="宋体" w:eastAsia="宋体" w:cs="宋体"/>
          <w:i w:val="0"/>
          <w:iCs w:val="0"/>
          <w:caps w:val="0"/>
          <w:color w:val="000000"/>
          <w:spacing w:val="0"/>
          <w:sz w:val="27"/>
          <w:szCs w:val="27"/>
          <w:shd w:val="clear" w:fill="FFFFFF"/>
        </w:rPr>
        <w:t>第四章</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法律责任</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对非法集资人，由处置非法集资牵头部门处集资金额</w:t>
      </w:r>
      <w:r>
        <w:rPr>
          <w:rFonts w:hint="default" w:ascii="Tahoma" w:hAnsi="Tahoma" w:eastAsia="Tahoma" w:cs="Tahoma"/>
          <w:i w:val="0"/>
          <w:iCs w:val="0"/>
          <w:caps w:val="0"/>
          <w:color w:val="000000"/>
          <w:spacing w:val="0"/>
          <w:sz w:val="27"/>
          <w:szCs w:val="27"/>
          <w:shd w:val="clear" w:fill="FFFFFF"/>
          <w:lang w:val="en-US"/>
        </w:rPr>
        <w:t>20%</w:t>
      </w:r>
      <w:r>
        <w:rPr>
          <w:rFonts w:hint="default" w:ascii="Tahoma" w:hAnsi="Tahoma" w:eastAsia="Tahoma" w:cs="Tahoma"/>
          <w:i w:val="0"/>
          <w:iCs w:val="0"/>
          <w:caps w:val="0"/>
          <w:color w:val="000000"/>
          <w:spacing w:val="0"/>
          <w:sz w:val="27"/>
          <w:szCs w:val="27"/>
          <w:shd w:val="clear" w:fill="FFFFFF"/>
        </w:rPr>
        <w:t>以上</w:t>
      </w:r>
      <w:r>
        <w:rPr>
          <w:rFonts w:hint="default" w:ascii="Tahoma" w:hAnsi="Tahoma" w:eastAsia="Tahoma" w:cs="Tahoma"/>
          <w:i w:val="0"/>
          <w:iCs w:val="0"/>
          <w:caps w:val="0"/>
          <w:color w:val="000000"/>
          <w:spacing w:val="0"/>
          <w:sz w:val="27"/>
          <w:szCs w:val="27"/>
          <w:shd w:val="clear" w:fill="FFFFFF"/>
          <w:lang w:val="en-US"/>
        </w:rPr>
        <w:t>1</w:t>
      </w:r>
      <w:r>
        <w:rPr>
          <w:rFonts w:hint="default" w:ascii="Tahoma" w:hAnsi="Tahoma" w:eastAsia="Tahoma" w:cs="Tahoma"/>
          <w:i w:val="0"/>
          <w:iCs w:val="0"/>
          <w:caps w:val="0"/>
          <w:color w:val="000000"/>
          <w:spacing w:val="0"/>
          <w:sz w:val="27"/>
          <w:szCs w:val="27"/>
          <w:shd w:val="clear" w:fill="FFFFFF"/>
        </w:rPr>
        <w:t>倍以下的罚款。非法集资人为单位的，还可以根据情节轻重责令停产停业，由有关机关依法吊销许可证、营业执照或者登记证书；对其法定代表人或者主要负责人、直接负责的主管人员和其他直接责任人员给予警告，处</w:t>
      </w:r>
      <w:r>
        <w:rPr>
          <w:rFonts w:hint="default" w:ascii="Tahoma" w:hAnsi="Tahoma" w:eastAsia="Tahoma" w:cs="Tahoma"/>
          <w:i w:val="0"/>
          <w:iCs w:val="0"/>
          <w:caps w:val="0"/>
          <w:color w:val="000000"/>
          <w:spacing w:val="0"/>
          <w:sz w:val="27"/>
          <w:szCs w:val="27"/>
          <w:shd w:val="clear" w:fill="FFFFFF"/>
          <w:lang w:val="en-US"/>
        </w:rPr>
        <w:t>50</w:t>
      </w:r>
      <w:r>
        <w:rPr>
          <w:rFonts w:hint="default" w:ascii="Tahoma" w:hAnsi="Tahoma" w:eastAsia="Tahoma" w:cs="Tahoma"/>
          <w:i w:val="0"/>
          <w:iCs w:val="0"/>
          <w:caps w:val="0"/>
          <w:color w:val="000000"/>
          <w:spacing w:val="0"/>
          <w:sz w:val="27"/>
          <w:szCs w:val="27"/>
          <w:shd w:val="clear" w:fill="FFFFFF"/>
        </w:rPr>
        <w:t>万元以上</w:t>
      </w:r>
      <w:r>
        <w:rPr>
          <w:rFonts w:hint="default" w:ascii="Tahoma" w:hAnsi="Tahoma" w:eastAsia="Tahoma" w:cs="Tahoma"/>
          <w:i w:val="0"/>
          <w:iCs w:val="0"/>
          <w:caps w:val="0"/>
          <w:color w:val="000000"/>
          <w:spacing w:val="0"/>
          <w:sz w:val="27"/>
          <w:szCs w:val="27"/>
          <w:shd w:val="clear" w:fill="FFFFFF"/>
          <w:lang w:val="en-US"/>
        </w:rPr>
        <w:t>500</w:t>
      </w:r>
      <w:r>
        <w:rPr>
          <w:rFonts w:hint="default" w:ascii="Tahoma" w:hAnsi="Tahoma" w:eastAsia="Tahoma" w:cs="Tahoma"/>
          <w:i w:val="0"/>
          <w:iCs w:val="0"/>
          <w:caps w:val="0"/>
          <w:color w:val="000000"/>
          <w:spacing w:val="0"/>
          <w:sz w:val="27"/>
          <w:szCs w:val="27"/>
          <w:shd w:val="clear" w:fill="FFFFFF"/>
        </w:rPr>
        <w:t>万元以下的罚款。构成犯罪的，依法追究刑事责任。</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第三十一条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对非法集资协助人，由处置非法集资牵头部门给予警告，处违法所得</w:t>
      </w:r>
      <w:r>
        <w:rPr>
          <w:rFonts w:hint="default" w:ascii="Tahoma" w:hAnsi="Tahoma" w:eastAsia="Tahoma" w:cs="Tahoma"/>
          <w:i w:val="0"/>
          <w:iCs w:val="0"/>
          <w:caps w:val="0"/>
          <w:color w:val="000000"/>
          <w:spacing w:val="0"/>
          <w:sz w:val="27"/>
          <w:szCs w:val="27"/>
          <w:shd w:val="clear" w:fill="FFFFFF"/>
          <w:lang w:val="en-US"/>
        </w:rPr>
        <w:t>1</w:t>
      </w:r>
      <w:r>
        <w:rPr>
          <w:rFonts w:hint="default" w:ascii="Tahoma" w:hAnsi="Tahoma" w:eastAsia="Tahoma" w:cs="Tahoma"/>
          <w:i w:val="0"/>
          <w:iCs w:val="0"/>
          <w:caps w:val="0"/>
          <w:color w:val="000000"/>
          <w:spacing w:val="0"/>
          <w:sz w:val="27"/>
          <w:szCs w:val="27"/>
          <w:shd w:val="clear" w:fill="FFFFFF"/>
        </w:rPr>
        <w:t>倍以上</w:t>
      </w:r>
      <w:r>
        <w:rPr>
          <w:rFonts w:hint="default" w:ascii="Tahoma" w:hAnsi="Tahoma" w:eastAsia="Tahoma" w:cs="Tahoma"/>
          <w:i w:val="0"/>
          <w:iCs w:val="0"/>
          <w:caps w:val="0"/>
          <w:color w:val="000000"/>
          <w:spacing w:val="0"/>
          <w:sz w:val="27"/>
          <w:szCs w:val="27"/>
          <w:shd w:val="clear" w:fill="FFFFFF"/>
          <w:lang w:val="en-US"/>
        </w:rPr>
        <w:t>3</w:t>
      </w:r>
      <w:r>
        <w:rPr>
          <w:rFonts w:hint="default" w:ascii="Tahoma" w:hAnsi="Tahoma" w:eastAsia="Tahoma" w:cs="Tahoma"/>
          <w:i w:val="0"/>
          <w:iCs w:val="0"/>
          <w:caps w:val="0"/>
          <w:color w:val="000000"/>
          <w:spacing w:val="0"/>
          <w:sz w:val="27"/>
          <w:szCs w:val="27"/>
          <w:shd w:val="clear" w:fill="FFFFFF"/>
        </w:rPr>
        <w:t>倍以下的罚款；构成犯罪的，依法追究刑事责任。</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第三十二条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非法集资人、非法集资协助人不能同时履行所承担的清退集资资金和缴纳罚款义务时，先清退集资资金。</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第三十三条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对依照本条例受到行政处罚的非法集资人、非法集资协助人，由有关部门建立信用记录，按照规定将其信用记录纳入全国信用信息共享平台。</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第三十四条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互联网信息服务提供者未履行对涉嫌非法集资信息的防范和处置义务的，由有关主管部门责令改正，给予警告，没收违法所得；拒不改正或者情节严重的，处</w:t>
      </w:r>
      <w:r>
        <w:rPr>
          <w:rFonts w:hint="default" w:ascii="Tahoma" w:hAnsi="Tahoma" w:eastAsia="Tahoma" w:cs="Tahoma"/>
          <w:i w:val="0"/>
          <w:iCs w:val="0"/>
          <w:caps w:val="0"/>
          <w:color w:val="000000"/>
          <w:spacing w:val="0"/>
          <w:sz w:val="27"/>
          <w:szCs w:val="27"/>
          <w:shd w:val="clear" w:fill="FFFFFF"/>
          <w:lang w:val="en-US"/>
        </w:rPr>
        <w:t>10</w:t>
      </w:r>
      <w:r>
        <w:rPr>
          <w:rFonts w:hint="default" w:ascii="Tahoma" w:hAnsi="Tahoma" w:eastAsia="Tahoma" w:cs="Tahoma"/>
          <w:i w:val="0"/>
          <w:iCs w:val="0"/>
          <w:caps w:val="0"/>
          <w:color w:val="000000"/>
          <w:spacing w:val="0"/>
          <w:sz w:val="27"/>
          <w:szCs w:val="27"/>
          <w:shd w:val="clear" w:fill="FFFFFF"/>
        </w:rPr>
        <w:t>万元以上</w:t>
      </w:r>
      <w:r>
        <w:rPr>
          <w:rFonts w:hint="default" w:ascii="Tahoma" w:hAnsi="Tahoma" w:eastAsia="Tahoma" w:cs="Tahoma"/>
          <w:i w:val="0"/>
          <w:iCs w:val="0"/>
          <w:caps w:val="0"/>
          <w:color w:val="000000"/>
          <w:spacing w:val="0"/>
          <w:sz w:val="27"/>
          <w:szCs w:val="27"/>
          <w:shd w:val="clear" w:fill="FFFFFF"/>
          <w:lang w:val="en-US"/>
        </w:rPr>
        <w:t>50</w:t>
      </w:r>
      <w:r>
        <w:rPr>
          <w:rFonts w:hint="default" w:ascii="Tahoma" w:hAnsi="Tahoma" w:eastAsia="Tahoma" w:cs="Tahoma"/>
          <w:i w:val="0"/>
          <w:iCs w:val="0"/>
          <w:caps w:val="0"/>
          <w:color w:val="000000"/>
          <w:spacing w:val="0"/>
          <w:sz w:val="27"/>
          <w:szCs w:val="27"/>
          <w:shd w:val="clear" w:fill="FFFFFF"/>
        </w:rPr>
        <w:t>万元以下的罚款，并可以根据情节轻重责令暂停相关业务、停业整顿、关闭网站、吊销相关业务许可证或者吊销营业执照，对直接负责的主管人员和其他直接责任人员处</w:t>
      </w:r>
      <w:r>
        <w:rPr>
          <w:rFonts w:hint="default" w:ascii="Tahoma" w:hAnsi="Tahoma" w:eastAsia="Tahoma" w:cs="Tahoma"/>
          <w:i w:val="0"/>
          <w:iCs w:val="0"/>
          <w:caps w:val="0"/>
          <w:color w:val="000000"/>
          <w:spacing w:val="0"/>
          <w:sz w:val="27"/>
          <w:szCs w:val="27"/>
          <w:shd w:val="clear" w:fill="FFFFFF"/>
          <w:lang w:val="en-US"/>
        </w:rPr>
        <w:t>1</w:t>
      </w:r>
      <w:r>
        <w:rPr>
          <w:rFonts w:hint="default" w:ascii="Tahoma" w:hAnsi="Tahoma" w:eastAsia="Tahoma" w:cs="Tahoma"/>
          <w:i w:val="0"/>
          <w:iCs w:val="0"/>
          <w:caps w:val="0"/>
          <w:color w:val="000000"/>
          <w:spacing w:val="0"/>
          <w:sz w:val="27"/>
          <w:szCs w:val="27"/>
          <w:shd w:val="clear" w:fill="FFFFFF"/>
        </w:rPr>
        <w:t>万元以上</w:t>
      </w:r>
      <w:r>
        <w:rPr>
          <w:rFonts w:hint="default" w:ascii="Tahoma" w:hAnsi="Tahoma" w:eastAsia="Tahoma" w:cs="Tahoma"/>
          <w:i w:val="0"/>
          <w:iCs w:val="0"/>
          <w:caps w:val="0"/>
          <w:color w:val="000000"/>
          <w:spacing w:val="0"/>
          <w:sz w:val="27"/>
          <w:szCs w:val="27"/>
          <w:shd w:val="clear" w:fill="FFFFFF"/>
          <w:lang w:val="en-US"/>
        </w:rPr>
        <w:t>10</w:t>
      </w:r>
      <w:r>
        <w:rPr>
          <w:rFonts w:hint="default" w:ascii="Tahoma" w:hAnsi="Tahoma" w:eastAsia="Tahoma" w:cs="Tahoma"/>
          <w:i w:val="0"/>
          <w:iCs w:val="0"/>
          <w:caps w:val="0"/>
          <w:color w:val="000000"/>
          <w:spacing w:val="0"/>
          <w:sz w:val="27"/>
          <w:szCs w:val="27"/>
          <w:shd w:val="clear" w:fill="FFFFFF"/>
        </w:rPr>
        <w:t>万元以下的罚款。</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广告经营者、广告发布者未按照规定查验相关证明文件、核对广告内容的，由市场监督管理部门责令改正，并依照《中华人民共和国广告法》的规定予以处罚。</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第三十五条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金融机构、非银行支付机构未履行防范非法集资义务的，由国务院金融管理部门或者其分支机构、派出机构按照职责分工责令改正，给予警告，没收违法所得；造成严重后果的，处</w:t>
      </w:r>
      <w:r>
        <w:rPr>
          <w:rFonts w:hint="default" w:ascii="Tahoma" w:hAnsi="Tahoma" w:eastAsia="Tahoma" w:cs="Tahoma"/>
          <w:i w:val="0"/>
          <w:iCs w:val="0"/>
          <w:caps w:val="0"/>
          <w:color w:val="000000"/>
          <w:spacing w:val="0"/>
          <w:sz w:val="27"/>
          <w:szCs w:val="27"/>
          <w:shd w:val="clear" w:fill="FFFFFF"/>
          <w:lang w:val="en-US"/>
        </w:rPr>
        <w:t>100</w:t>
      </w:r>
      <w:r>
        <w:rPr>
          <w:rFonts w:hint="default" w:ascii="Tahoma" w:hAnsi="Tahoma" w:eastAsia="Tahoma" w:cs="Tahoma"/>
          <w:i w:val="0"/>
          <w:iCs w:val="0"/>
          <w:caps w:val="0"/>
          <w:color w:val="000000"/>
          <w:spacing w:val="0"/>
          <w:sz w:val="27"/>
          <w:szCs w:val="27"/>
          <w:shd w:val="clear" w:fill="FFFFFF"/>
        </w:rPr>
        <w:t>万元以上</w:t>
      </w:r>
      <w:r>
        <w:rPr>
          <w:rFonts w:hint="default" w:ascii="Tahoma" w:hAnsi="Tahoma" w:eastAsia="Tahoma" w:cs="Tahoma"/>
          <w:i w:val="0"/>
          <w:iCs w:val="0"/>
          <w:caps w:val="0"/>
          <w:color w:val="000000"/>
          <w:spacing w:val="0"/>
          <w:sz w:val="27"/>
          <w:szCs w:val="27"/>
          <w:shd w:val="clear" w:fill="FFFFFF"/>
          <w:lang w:val="en-US"/>
        </w:rPr>
        <w:t>500</w:t>
      </w:r>
      <w:r>
        <w:rPr>
          <w:rFonts w:hint="default" w:ascii="Tahoma" w:hAnsi="Tahoma" w:eastAsia="Tahoma" w:cs="Tahoma"/>
          <w:i w:val="0"/>
          <w:iCs w:val="0"/>
          <w:caps w:val="0"/>
          <w:color w:val="000000"/>
          <w:spacing w:val="0"/>
          <w:sz w:val="27"/>
          <w:szCs w:val="27"/>
          <w:shd w:val="clear" w:fill="FFFFFF"/>
        </w:rPr>
        <w:t>万元以下的罚款，对直接负责的主管人员和其他直接责任人员给予警告，处</w:t>
      </w:r>
      <w:r>
        <w:rPr>
          <w:rFonts w:hint="default" w:ascii="Tahoma" w:hAnsi="Tahoma" w:eastAsia="Tahoma" w:cs="Tahoma"/>
          <w:i w:val="0"/>
          <w:iCs w:val="0"/>
          <w:caps w:val="0"/>
          <w:color w:val="000000"/>
          <w:spacing w:val="0"/>
          <w:sz w:val="27"/>
          <w:szCs w:val="27"/>
          <w:shd w:val="clear" w:fill="FFFFFF"/>
          <w:lang w:val="en-US"/>
        </w:rPr>
        <w:t>10</w:t>
      </w:r>
      <w:r>
        <w:rPr>
          <w:rFonts w:hint="default" w:ascii="Tahoma" w:hAnsi="Tahoma" w:eastAsia="Tahoma" w:cs="Tahoma"/>
          <w:i w:val="0"/>
          <w:iCs w:val="0"/>
          <w:caps w:val="0"/>
          <w:color w:val="000000"/>
          <w:spacing w:val="0"/>
          <w:sz w:val="27"/>
          <w:szCs w:val="27"/>
          <w:shd w:val="clear" w:fill="FFFFFF"/>
        </w:rPr>
        <w:t>万元以上</w:t>
      </w:r>
      <w:r>
        <w:rPr>
          <w:rFonts w:hint="default" w:ascii="Tahoma" w:hAnsi="Tahoma" w:eastAsia="Tahoma" w:cs="Tahoma"/>
          <w:i w:val="0"/>
          <w:iCs w:val="0"/>
          <w:caps w:val="0"/>
          <w:color w:val="000000"/>
          <w:spacing w:val="0"/>
          <w:sz w:val="27"/>
          <w:szCs w:val="27"/>
          <w:shd w:val="clear" w:fill="FFFFFF"/>
          <w:lang w:val="en-US"/>
        </w:rPr>
        <w:t>50</w:t>
      </w:r>
      <w:r>
        <w:rPr>
          <w:rFonts w:hint="default" w:ascii="Tahoma" w:hAnsi="Tahoma" w:eastAsia="Tahoma" w:cs="Tahoma"/>
          <w:i w:val="0"/>
          <w:iCs w:val="0"/>
          <w:caps w:val="0"/>
          <w:color w:val="000000"/>
          <w:spacing w:val="0"/>
          <w:sz w:val="27"/>
          <w:szCs w:val="27"/>
          <w:shd w:val="clear" w:fill="FFFFFF"/>
        </w:rPr>
        <w:t>万元以下的罚款。</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第三十六条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与被调查事件有关的单位和个人不配合调查，拒绝提供相关文件、资料、电子数据等或者提供虚假文件、资料、电子数据等的，由处置非法集资牵头部门责令改正，给予警告，处</w:t>
      </w:r>
      <w:r>
        <w:rPr>
          <w:rFonts w:hint="default" w:ascii="Tahoma" w:hAnsi="Tahoma" w:eastAsia="Tahoma" w:cs="Tahoma"/>
          <w:i w:val="0"/>
          <w:iCs w:val="0"/>
          <w:caps w:val="0"/>
          <w:color w:val="000000"/>
          <w:spacing w:val="0"/>
          <w:sz w:val="27"/>
          <w:szCs w:val="27"/>
          <w:shd w:val="clear" w:fill="FFFFFF"/>
          <w:lang w:val="en-US"/>
        </w:rPr>
        <w:t>5</w:t>
      </w:r>
      <w:r>
        <w:rPr>
          <w:rFonts w:hint="default" w:ascii="Tahoma" w:hAnsi="Tahoma" w:eastAsia="Tahoma" w:cs="Tahoma"/>
          <w:i w:val="0"/>
          <w:iCs w:val="0"/>
          <w:caps w:val="0"/>
          <w:color w:val="000000"/>
          <w:spacing w:val="0"/>
          <w:sz w:val="27"/>
          <w:szCs w:val="27"/>
          <w:shd w:val="clear" w:fill="FFFFFF"/>
        </w:rPr>
        <w:t>万元以上</w:t>
      </w:r>
      <w:r>
        <w:rPr>
          <w:rFonts w:hint="default" w:ascii="Tahoma" w:hAnsi="Tahoma" w:eastAsia="Tahoma" w:cs="Tahoma"/>
          <w:i w:val="0"/>
          <w:iCs w:val="0"/>
          <w:caps w:val="0"/>
          <w:color w:val="000000"/>
          <w:spacing w:val="0"/>
          <w:sz w:val="27"/>
          <w:szCs w:val="27"/>
          <w:shd w:val="clear" w:fill="FFFFFF"/>
          <w:lang w:val="en-US"/>
        </w:rPr>
        <w:t>50</w:t>
      </w:r>
      <w:r>
        <w:rPr>
          <w:rFonts w:hint="default" w:ascii="Tahoma" w:hAnsi="Tahoma" w:eastAsia="Tahoma" w:cs="Tahoma"/>
          <w:i w:val="0"/>
          <w:iCs w:val="0"/>
          <w:caps w:val="0"/>
          <w:color w:val="000000"/>
          <w:spacing w:val="0"/>
          <w:sz w:val="27"/>
          <w:szCs w:val="27"/>
          <w:shd w:val="clear" w:fill="FFFFFF"/>
        </w:rPr>
        <w:t>万元以下的罚款。</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阻碍调查人员依法执行职务，构成违反治安管理行为的，由公安机关依法给予治安管理处罚；构成犯罪的，依法追究刑事责任。</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第三十七条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国家机关工作人员有下列行为之一的，依法给予处分：</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（一）明知所主管、监管的单位有涉嫌非法集资行为，未依法及时处理；</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（二）未按照规定及时履行对非法集资的防范职责，或者不配合非法集资处置，造成严重后果；</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（三）在防范和处置非法集资过程中滥用职权、玩忽职守、徇私舞弊；</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（四）通过职务行为或者利用职务影响，支持、包庇、纵容非法集资。</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前款规定的行为构成犯罪的，依法追究刑事责任。</w:t>
      </w:r>
    </w:p>
    <w:p>
      <w:pPr>
        <w:pStyle w:val="2"/>
        <w:keepNext w:val="0"/>
        <w:keepLines w:val="0"/>
        <w:widowControl/>
        <w:suppressLineNumbers w:val="0"/>
        <w:shd w:val="clear" w:fill="FFFFFF"/>
        <w:spacing w:before="0" w:beforeAutospacing="0" w:after="0" w:afterAutospacing="0" w:line="480" w:lineRule="atLeast"/>
        <w:ind w:left="0" w:right="0" w:firstLine="480"/>
        <w:jc w:val="both"/>
      </w:pPr>
      <w:r>
        <w:rPr>
          <w:rStyle w:val="5"/>
          <w:rFonts w:hint="eastAsia" w:ascii="宋体" w:hAnsi="宋体" w:eastAsia="宋体" w:cs="宋体"/>
          <w:i w:val="0"/>
          <w:iCs w:val="0"/>
          <w:caps w:val="0"/>
          <w:color w:val="000000"/>
          <w:spacing w:val="0"/>
          <w:sz w:val="27"/>
          <w:szCs w:val="27"/>
          <w:shd w:val="clear" w:fill="FFFFFF"/>
        </w:rPr>
        <w:t>第五章</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附</w:t>
      </w:r>
      <w:r>
        <w:rPr>
          <w:rStyle w:val="5"/>
          <w:rFonts w:hint="eastAsia" w:ascii="宋体" w:hAnsi="宋体" w:eastAsia="宋体" w:cs="宋体"/>
          <w:i w:val="0"/>
          <w:iCs w:val="0"/>
          <w:caps w:val="0"/>
          <w:color w:val="000000"/>
          <w:spacing w:val="0"/>
          <w:sz w:val="27"/>
          <w:szCs w:val="27"/>
          <w:shd w:val="clear" w:fill="FFFFFF"/>
          <w:lang w:val="en-US"/>
        </w:rPr>
        <w:t>  </w:t>
      </w:r>
      <w:r>
        <w:rPr>
          <w:rStyle w:val="5"/>
          <w:rFonts w:hint="eastAsia" w:ascii="宋体" w:hAnsi="宋体" w:eastAsia="宋体" w:cs="宋体"/>
          <w:i w:val="0"/>
          <w:iCs w:val="0"/>
          <w:caps w:val="0"/>
          <w:color w:val="000000"/>
          <w:spacing w:val="0"/>
          <w:sz w:val="27"/>
          <w:szCs w:val="27"/>
          <w:shd w:val="clear" w:fill="FFFFFF"/>
        </w:rPr>
        <w:t>则</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第三十八条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各省、自治区、直辖市可以根据本条例制定防范和处置非法集资工作实施细则。</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第三十九条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未经依法许可或者违反国家金融管理规定，擅自从事发放贷款、支付结算、票据贴现等金融业务活动的，由国务院金融管理部门或者地方金融管理部门按照监督管理职责分工进行处置。</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法律、行政法规对其他非法金融业务活动的防范和处置没有明确规定的，参照本条例的有关规定执行。其他非法金融业务活动的具体类型由国务院金融管理部门确定。</w:t>
      </w:r>
    </w:p>
    <w:p>
      <w:pPr>
        <w:pStyle w:val="2"/>
        <w:keepNext w:val="0"/>
        <w:keepLines w:val="0"/>
        <w:widowControl/>
        <w:suppressLineNumbers w:val="0"/>
        <w:shd w:val="clear" w:fill="FFFFFF"/>
        <w:spacing w:before="0" w:beforeAutospacing="0" w:after="240" w:afterAutospacing="0" w:line="480" w:lineRule="atLeast"/>
        <w:ind w:left="0" w:right="0" w:firstLine="480"/>
        <w:jc w:val="both"/>
      </w:pPr>
      <w:r>
        <w:rPr>
          <w:rFonts w:hint="default" w:ascii="Tahoma" w:hAnsi="Tahoma" w:eastAsia="Tahoma" w:cs="Tahoma"/>
          <w:i w:val="0"/>
          <w:iCs w:val="0"/>
          <w:caps w:val="0"/>
          <w:color w:val="000000"/>
          <w:spacing w:val="0"/>
          <w:sz w:val="27"/>
          <w:szCs w:val="27"/>
          <w:shd w:val="clear" w:fill="FFFFFF"/>
        </w:rPr>
        <w:t>第四十条</w:t>
      </w:r>
      <w:r>
        <w:rPr>
          <w:rFonts w:hint="default" w:ascii="Tahoma" w:hAnsi="Tahoma" w:eastAsia="Tahoma" w:cs="Tahoma"/>
          <w:i w:val="0"/>
          <w:iCs w:val="0"/>
          <w:caps w:val="0"/>
          <w:color w:val="000000"/>
          <w:spacing w:val="0"/>
          <w:sz w:val="27"/>
          <w:szCs w:val="27"/>
          <w:shd w:val="clear" w:fill="FFFFFF"/>
          <w:lang w:val="en-US"/>
        </w:rPr>
        <w:t>  </w:t>
      </w:r>
      <w:r>
        <w:rPr>
          <w:rFonts w:hint="default" w:ascii="Tahoma" w:hAnsi="Tahoma" w:eastAsia="Tahoma" w:cs="Tahoma"/>
          <w:i w:val="0"/>
          <w:iCs w:val="0"/>
          <w:caps w:val="0"/>
          <w:color w:val="000000"/>
          <w:spacing w:val="0"/>
          <w:sz w:val="27"/>
          <w:szCs w:val="27"/>
          <w:shd w:val="clear" w:fill="FFFFFF"/>
        </w:rPr>
        <w:t>本条例自</w:t>
      </w:r>
      <w:r>
        <w:rPr>
          <w:rFonts w:hint="default" w:ascii="Tahoma" w:hAnsi="Tahoma" w:eastAsia="Tahoma" w:cs="Tahoma"/>
          <w:i w:val="0"/>
          <w:iCs w:val="0"/>
          <w:caps w:val="0"/>
          <w:color w:val="000000"/>
          <w:spacing w:val="0"/>
          <w:sz w:val="27"/>
          <w:szCs w:val="27"/>
          <w:shd w:val="clear" w:fill="FFFFFF"/>
          <w:lang w:val="en-US"/>
        </w:rPr>
        <w:t>2021</w:t>
      </w:r>
      <w:r>
        <w:rPr>
          <w:rFonts w:hint="default" w:ascii="Tahoma" w:hAnsi="Tahoma" w:eastAsia="Tahoma" w:cs="Tahoma"/>
          <w:i w:val="0"/>
          <w:iCs w:val="0"/>
          <w:caps w:val="0"/>
          <w:color w:val="000000"/>
          <w:spacing w:val="0"/>
          <w:sz w:val="27"/>
          <w:szCs w:val="27"/>
          <w:shd w:val="clear" w:fill="FFFFFF"/>
        </w:rPr>
        <w:t>年</w:t>
      </w:r>
      <w:r>
        <w:rPr>
          <w:rFonts w:hint="default" w:ascii="Tahoma" w:hAnsi="Tahoma" w:eastAsia="Tahoma" w:cs="Tahoma"/>
          <w:i w:val="0"/>
          <w:iCs w:val="0"/>
          <w:caps w:val="0"/>
          <w:color w:val="000000"/>
          <w:spacing w:val="0"/>
          <w:sz w:val="27"/>
          <w:szCs w:val="27"/>
          <w:shd w:val="clear" w:fill="FFFFFF"/>
          <w:lang w:val="en-US"/>
        </w:rPr>
        <w:t>5</w:t>
      </w:r>
      <w:r>
        <w:rPr>
          <w:rFonts w:hint="default" w:ascii="Tahoma" w:hAnsi="Tahoma" w:eastAsia="Tahoma" w:cs="Tahoma"/>
          <w:i w:val="0"/>
          <w:iCs w:val="0"/>
          <w:caps w:val="0"/>
          <w:color w:val="000000"/>
          <w:spacing w:val="0"/>
          <w:sz w:val="27"/>
          <w:szCs w:val="27"/>
          <w:shd w:val="clear" w:fill="FFFFFF"/>
        </w:rPr>
        <w:t>月</w:t>
      </w:r>
      <w:r>
        <w:rPr>
          <w:rFonts w:hint="default" w:ascii="Tahoma" w:hAnsi="Tahoma" w:eastAsia="Tahoma" w:cs="Tahoma"/>
          <w:i w:val="0"/>
          <w:iCs w:val="0"/>
          <w:caps w:val="0"/>
          <w:color w:val="000000"/>
          <w:spacing w:val="0"/>
          <w:sz w:val="27"/>
          <w:szCs w:val="27"/>
          <w:shd w:val="clear" w:fill="FFFFFF"/>
          <w:lang w:val="en-US"/>
        </w:rPr>
        <w:t>1</w:t>
      </w:r>
      <w:r>
        <w:rPr>
          <w:rFonts w:hint="default" w:ascii="Tahoma" w:hAnsi="Tahoma" w:eastAsia="Tahoma" w:cs="Tahoma"/>
          <w:i w:val="0"/>
          <w:iCs w:val="0"/>
          <w:caps w:val="0"/>
          <w:color w:val="000000"/>
          <w:spacing w:val="0"/>
          <w:sz w:val="27"/>
          <w:szCs w:val="27"/>
          <w:shd w:val="clear" w:fill="FFFFFF"/>
        </w:rPr>
        <w:t>日起施行。</w:t>
      </w:r>
      <w:r>
        <w:rPr>
          <w:rFonts w:hint="default" w:ascii="Tahoma" w:hAnsi="Tahoma" w:eastAsia="Tahoma" w:cs="Tahoma"/>
          <w:i w:val="0"/>
          <w:iCs w:val="0"/>
          <w:caps w:val="0"/>
          <w:color w:val="000000"/>
          <w:spacing w:val="0"/>
          <w:sz w:val="27"/>
          <w:szCs w:val="27"/>
          <w:shd w:val="clear" w:fill="FFFFFF"/>
          <w:lang w:val="en-US"/>
        </w:rPr>
        <w:t>1998</w:t>
      </w:r>
      <w:r>
        <w:rPr>
          <w:rFonts w:hint="default" w:ascii="Tahoma" w:hAnsi="Tahoma" w:eastAsia="Tahoma" w:cs="Tahoma"/>
          <w:i w:val="0"/>
          <w:iCs w:val="0"/>
          <w:caps w:val="0"/>
          <w:color w:val="000000"/>
          <w:spacing w:val="0"/>
          <w:sz w:val="27"/>
          <w:szCs w:val="27"/>
          <w:shd w:val="clear" w:fill="FFFFFF"/>
        </w:rPr>
        <w:t>年</w:t>
      </w:r>
      <w:r>
        <w:rPr>
          <w:rFonts w:hint="default" w:ascii="Tahoma" w:hAnsi="Tahoma" w:eastAsia="Tahoma" w:cs="Tahoma"/>
          <w:i w:val="0"/>
          <w:iCs w:val="0"/>
          <w:caps w:val="0"/>
          <w:color w:val="000000"/>
          <w:spacing w:val="0"/>
          <w:sz w:val="27"/>
          <w:szCs w:val="27"/>
          <w:shd w:val="clear" w:fill="FFFFFF"/>
          <w:lang w:val="en-US"/>
        </w:rPr>
        <w:t>7</w:t>
      </w:r>
      <w:r>
        <w:rPr>
          <w:rFonts w:hint="default" w:ascii="Tahoma" w:hAnsi="Tahoma" w:eastAsia="Tahoma" w:cs="Tahoma"/>
          <w:i w:val="0"/>
          <w:iCs w:val="0"/>
          <w:caps w:val="0"/>
          <w:color w:val="000000"/>
          <w:spacing w:val="0"/>
          <w:sz w:val="27"/>
          <w:szCs w:val="27"/>
          <w:shd w:val="clear" w:fill="FFFFFF"/>
        </w:rPr>
        <w:t>月</w:t>
      </w:r>
      <w:r>
        <w:rPr>
          <w:rFonts w:hint="default" w:ascii="Tahoma" w:hAnsi="Tahoma" w:eastAsia="Tahoma" w:cs="Tahoma"/>
          <w:i w:val="0"/>
          <w:iCs w:val="0"/>
          <w:caps w:val="0"/>
          <w:color w:val="000000"/>
          <w:spacing w:val="0"/>
          <w:sz w:val="27"/>
          <w:szCs w:val="27"/>
          <w:shd w:val="clear" w:fill="FFFFFF"/>
          <w:lang w:val="en-US"/>
        </w:rPr>
        <w:t>13</w:t>
      </w:r>
      <w:r>
        <w:rPr>
          <w:rFonts w:hint="default" w:ascii="Tahoma" w:hAnsi="Tahoma" w:eastAsia="Tahoma" w:cs="Tahoma"/>
          <w:i w:val="0"/>
          <w:iCs w:val="0"/>
          <w:caps w:val="0"/>
          <w:color w:val="000000"/>
          <w:spacing w:val="0"/>
          <w:sz w:val="27"/>
          <w:szCs w:val="27"/>
          <w:shd w:val="clear" w:fill="FFFFFF"/>
        </w:rPr>
        <w:t>日国务院发布的《非法金融机构和非法金融业务活动取缔办法》同时废止。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C5EA0"/>
    <w:rsid w:val="154C5EA0"/>
    <w:rsid w:val="4AF1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2021-05-08T01:11:00Z</dcterms:created>
  <dc:creator>水木清华</dc:creator>
  <cp:lastModifiedBy>️</cp:lastModifiedBy>
  <dcterms:modified xsi:type="dcterms:W3CDTF">2021-05-08T01:47:03Z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A59E577F74B845C98469EA63DF843FD8</vt:lpwstr>
  </property>
</Properties>
</file>