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both"/>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承高财发</w:t>
      </w:r>
      <w:r>
        <w:rPr>
          <w:rFonts w:hint="eastAsia" w:ascii="仿宋_GB2312" w:eastAsia="仿宋_GB2312"/>
          <w:sz w:val="32"/>
        </w:rPr>
        <w:t>〔20</w:t>
      </w:r>
      <w:r>
        <w:rPr>
          <w:rFonts w:hint="eastAsia" w:ascii="仿宋_GB2312" w:eastAsia="仿宋_GB2312"/>
          <w:sz w:val="32"/>
          <w:lang w:val="en-US" w:eastAsia="zh-CN"/>
        </w:rPr>
        <w:t>20</w:t>
      </w:r>
      <w:r>
        <w:rPr>
          <w:rFonts w:hint="eastAsia" w:ascii="仿宋_GB2312" w:eastAsia="仿宋_GB2312"/>
          <w:sz w:val="32"/>
        </w:rPr>
        <w:t>〕</w:t>
      </w:r>
      <w:r>
        <w:rPr>
          <w:rFonts w:hint="eastAsia" w:ascii="仿宋_GB2312" w:eastAsia="仿宋_GB2312"/>
          <w:sz w:val="32"/>
          <w:lang w:val="en-US" w:eastAsia="zh-CN"/>
        </w:rPr>
        <w:t>32</w:t>
      </w:r>
      <w:r>
        <w:rPr>
          <w:rFonts w:hint="eastAsia" w:ascii="仿宋_GB2312" w:eastAsia="仿宋_GB2312"/>
          <w:sz w:val="32"/>
          <w:szCs w:val="32"/>
        </w:rPr>
        <w:t>号</w:t>
      </w:r>
    </w:p>
    <w:p>
      <w:pPr>
        <w:jc w:val="center"/>
        <w:rPr>
          <w:rFonts w:hint="eastAsia" w:ascii="宋体" w:hAnsi="宋体"/>
          <w:b/>
          <w:sz w:val="36"/>
          <w:szCs w:val="36"/>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承德高新技术产业开发区财政局</w:t>
      </w:r>
    </w:p>
    <w:p>
      <w:pPr>
        <w:spacing w:line="60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关于下达</w:t>
      </w:r>
      <w:r>
        <w:rPr>
          <w:rFonts w:hint="eastAsia" w:ascii="方正小标宋_GBK" w:hAnsi="方正小标宋_GBK" w:eastAsia="方正小标宋_GBK" w:cs="方正小标宋_GBK"/>
          <w:sz w:val="44"/>
          <w:szCs w:val="44"/>
          <w:lang w:val="en-US" w:eastAsia="zh-CN"/>
        </w:rPr>
        <w:t>2020年中央财政林业改革发展</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资金预算指标</w:t>
      </w:r>
      <w:r>
        <w:rPr>
          <w:rFonts w:hint="eastAsia" w:ascii="方正小标宋_GBK" w:hAnsi="方正小标宋_GBK" w:eastAsia="方正小标宋_GBK" w:cs="方正小标宋_GBK"/>
          <w:sz w:val="44"/>
          <w:szCs w:val="44"/>
        </w:rPr>
        <w:t>的通知</w:t>
      </w:r>
    </w:p>
    <w:p>
      <w:pPr>
        <w:tabs>
          <w:tab w:val="left" w:pos="5751"/>
        </w:tabs>
        <w:spacing w:line="600" w:lineRule="exact"/>
        <w:jc w:val="left"/>
        <w:rPr>
          <w:rFonts w:hint="eastAsia"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ab/>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林业水务局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bCs/>
          <w:sz w:val="32"/>
          <w:lang w:val="en-US" w:eastAsia="zh-CN"/>
        </w:rPr>
      </w:pPr>
      <w:r>
        <w:rPr>
          <w:rFonts w:hint="eastAsia" w:ascii="仿宋_GB2312" w:hAnsi="仿宋" w:eastAsia="仿宋_GB2312" w:cs="宋体"/>
          <w:kern w:val="0"/>
          <w:sz w:val="32"/>
          <w:szCs w:val="32"/>
        </w:rPr>
        <w:t>根据</w:t>
      </w:r>
      <w:r>
        <w:rPr>
          <w:rFonts w:hint="eastAsia" w:ascii="仿宋_GB2312" w:hAnsi="仿宋" w:eastAsia="仿宋_GB2312"/>
          <w:bCs/>
          <w:sz w:val="32"/>
        </w:rPr>
        <w:t>《</w:t>
      </w:r>
      <w:r>
        <w:rPr>
          <w:rFonts w:hint="eastAsia" w:ascii="仿宋_GB2312" w:hAnsi="仿宋" w:eastAsia="仿宋_GB2312"/>
          <w:bCs/>
          <w:sz w:val="32"/>
          <w:lang w:eastAsia="zh-CN"/>
        </w:rPr>
        <w:t>承德市财政局</w:t>
      </w:r>
      <w:r>
        <w:rPr>
          <w:rFonts w:hint="eastAsia" w:ascii="仿宋_GB2312" w:hAnsi="仿宋" w:eastAsia="仿宋_GB2312"/>
          <w:bCs/>
          <w:sz w:val="32"/>
        </w:rPr>
        <w:t>关于提前下达2020年中央财政林业</w:t>
      </w:r>
      <w:r>
        <w:rPr>
          <w:rFonts w:hint="eastAsia" w:ascii="仿宋_GB2312" w:hAnsi="仿宋" w:eastAsia="仿宋_GB2312"/>
          <w:bCs/>
          <w:sz w:val="32"/>
          <w:lang w:eastAsia="zh-CN"/>
        </w:rPr>
        <w:t>改革发展</w:t>
      </w:r>
      <w:r>
        <w:rPr>
          <w:rFonts w:hint="eastAsia" w:ascii="仿宋_GB2312" w:hAnsi="仿宋" w:eastAsia="仿宋_GB2312"/>
          <w:bCs/>
          <w:sz w:val="32"/>
        </w:rPr>
        <w:t>资金预算指标的通知》（</w:t>
      </w:r>
      <w:r>
        <w:rPr>
          <w:rFonts w:hint="eastAsia" w:ascii="仿宋_GB2312" w:hAnsi="仿宋" w:eastAsia="仿宋_GB2312"/>
          <w:bCs/>
          <w:sz w:val="32"/>
          <w:lang w:eastAsia="zh-CN"/>
        </w:rPr>
        <w:t>承</w:t>
      </w:r>
      <w:r>
        <w:rPr>
          <w:rFonts w:hint="eastAsia" w:ascii="仿宋_GB2312" w:hAnsi="仿宋" w:eastAsia="仿宋_GB2312"/>
          <w:bCs/>
          <w:sz w:val="32"/>
        </w:rPr>
        <w:t>财资环〔2019〕</w:t>
      </w:r>
      <w:r>
        <w:rPr>
          <w:rFonts w:hint="eastAsia" w:ascii="仿宋_GB2312" w:hAnsi="仿宋" w:eastAsia="仿宋_GB2312"/>
          <w:bCs/>
          <w:sz w:val="32"/>
          <w:lang w:val="en-US" w:eastAsia="zh-CN"/>
        </w:rPr>
        <w:t>82</w:t>
      </w:r>
      <w:r>
        <w:rPr>
          <w:rFonts w:hint="eastAsia" w:ascii="仿宋_GB2312" w:hAnsi="仿宋" w:eastAsia="仿宋_GB2312"/>
          <w:bCs/>
          <w:sz w:val="32"/>
        </w:rPr>
        <w:t>号）</w:t>
      </w:r>
      <w:r>
        <w:rPr>
          <w:rFonts w:hint="eastAsia" w:ascii="仿宋_GB2312" w:hAnsi="仿宋_GB2312" w:eastAsia="仿宋_GB2312" w:cs="仿宋_GB2312"/>
          <w:bCs/>
          <w:sz w:val="32"/>
          <w:szCs w:val="32"/>
        </w:rPr>
        <w:t>,</w:t>
      </w:r>
      <w:r>
        <w:rPr>
          <w:rFonts w:hint="eastAsia" w:ascii="仿宋_GB2312" w:hAnsi="仿宋" w:eastAsia="仿宋_GB2312"/>
          <w:bCs/>
          <w:sz w:val="32"/>
        </w:rPr>
        <w:t>现下达</w:t>
      </w:r>
      <w:r>
        <w:rPr>
          <w:rFonts w:hint="eastAsia" w:ascii="仿宋_GB2312" w:hAnsi="仿宋" w:eastAsia="仿宋_GB2312"/>
          <w:bCs/>
          <w:sz w:val="32"/>
          <w:lang w:eastAsia="zh-CN"/>
        </w:rPr>
        <w:t>你部门</w:t>
      </w:r>
      <w:r>
        <w:rPr>
          <w:rFonts w:hint="eastAsia" w:ascii="仿宋_GB2312" w:hAnsi="仿宋" w:eastAsia="仿宋_GB2312"/>
          <w:bCs/>
          <w:sz w:val="32"/>
        </w:rPr>
        <w:t>2020年</w:t>
      </w:r>
      <w:r>
        <w:rPr>
          <w:rFonts w:hint="eastAsia" w:ascii="仿宋_GB2312" w:hAnsi="仿宋" w:eastAsia="仿宋_GB2312"/>
          <w:bCs/>
          <w:sz w:val="32"/>
          <w:lang w:eastAsia="zh-CN"/>
        </w:rPr>
        <w:t>天然林停伐管护补助资金</w:t>
      </w:r>
      <w:r>
        <w:rPr>
          <w:rFonts w:hint="eastAsia" w:ascii="仿宋_GB2312" w:hAnsi="仿宋" w:eastAsia="仿宋_GB2312"/>
          <w:bCs/>
          <w:sz w:val="32"/>
          <w:lang w:val="en-US" w:eastAsia="zh-CN"/>
        </w:rPr>
        <w:t>182.87</w:t>
      </w:r>
      <w:bookmarkStart w:id="2" w:name="_GoBack"/>
      <w:bookmarkEnd w:id="2"/>
      <w:r>
        <w:rPr>
          <w:rFonts w:hint="eastAsia" w:ascii="仿宋_GB2312" w:hAnsi="仿宋" w:eastAsia="仿宋_GB2312"/>
          <w:bCs/>
          <w:sz w:val="32"/>
          <w:lang w:val="en-US" w:eastAsia="zh-CN"/>
        </w:rPr>
        <w:t>万元，其中：国有管护补助0元、</w:t>
      </w:r>
      <w:r>
        <w:rPr>
          <w:rFonts w:hint="eastAsia" w:ascii="仿宋_GB2312" w:hAnsi="仿宋" w:eastAsia="仿宋_GB2312"/>
          <w:bCs/>
          <w:sz w:val="32"/>
          <w:lang w:eastAsia="zh-CN"/>
        </w:rPr>
        <w:t>集体和个人管护补助</w:t>
      </w:r>
      <w:r>
        <w:rPr>
          <w:rFonts w:hint="eastAsia" w:ascii="仿宋_GB2312" w:hAnsi="仿宋" w:eastAsia="仿宋_GB2312"/>
          <w:bCs/>
          <w:sz w:val="32"/>
          <w:lang w:val="en-US" w:eastAsia="zh-CN"/>
        </w:rPr>
        <w:t>123.68万元；森林生态效益补偿补助资金46.34万元，其中：管护补助45.99万元、公共管护补助0.35万元；退耕还林到期纳入森林抚育资金12.85万元。有关要求如下：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bCs/>
          <w:sz w:val="32"/>
        </w:rPr>
        <w:sectPr>
          <w:pgSz w:w="11906" w:h="16838"/>
          <w:pgMar w:top="1440" w:right="1800" w:bottom="1440" w:left="1800" w:header="851" w:footer="992" w:gutter="0"/>
          <w:pgNumType w:fmt="numberInDash" w:start="2"/>
          <w:cols w:space="425" w:num="1"/>
          <w:docGrid w:type="lines" w:linePitch="312" w:charSpace="0"/>
        </w:sectPr>
      </w:pPr>
      <w:r>
        <w:rPr>
          <w:rFonts w:hint="eastAsia" w:ascii="仿宋_GB2312" w:hAnsi="仿宋" w:eastAsia="仿宋_GB2312"/>
          <w:bCs/>
          <w:sz w:val="32"/>
        </w:rPr>
        <w:t>一、对上述各项资金，要严格按照《河北省林业改革发展资金使用管理和绩效管理实施细则》（冀财农〔2017〕167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bCs/>
          <w:sz w:val="32"/>
        </w:rPr>
      </w:pPr>
      <w:r>
        <w:rPr>
          <w:rFonts w:hint="eastAsia" w:ascii="仿宋_GB2312" w:hAnsi="仿宋" w:eastAsia="仿宋_GB2312"/>
          <w:bCs/>
          <w:sz w:val="32"/>
        </w:rPr>
        <w:t>号）等有关规定使用资金，加强资金管理，保障资金使用范围规范、安全、高效，确保年度绩效目标如期完成。同时，按照《国务院办公厅关于支持贫困县开展统筹整合使用财政涉农资金试点的意见》（国办发〔2016〕22号）和《河北省人民政府办公厅关于支持贫困县开展统筹整合使用财政涉农资金试点意见》（冀政办发〔2016〕21号）等有关文件要求使用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rPr>
      </w:pPr>
      <w:r>
        <w:rPr>
          <w:rFonts w:hint="eastAsia" w:ascii="仿宋_GB2312" w:hAnsi="仿宋" w:eastAsia="仿宋_GB2312"/>
          <w:bCs/>
          <w:sz w:val="32"/>
        </w:rPr>
        <w:t>二、</w:t>
      </w:r>
      <w:r>
        <w:rPr>
          <w:rFonts w:hint="eastAsia" w:ascii="仿宋_GB2312" w:eastAsia="仿宋_GB2312"/>
          <w:sz w:val="32"/>
        </w:rPr>
        <w:t>要按照《国务院办公厅关于转发财政部 国务院扶贫办 国家发展改革委扶贫项目资金绩效管理办法的通知》（国办发〔2018〕）35号）和《河北省人民政府办公厅关于转发省财政厅 省扶贫办 省发展改革委扶贫项目资金绩效管理实施办法的通知》（冀政办〔2018〕115号）的要求，对扶贫项目资金实施全过程绩效管理，确保资金精准使用，尽早发挥效益。按照《国务院扶贫办 财政部关于完善扶贫资金项目公告公示制度的指导意见》（国开办发〔2018〕11号）和《河北省财政厅关于全面加强脱贫攻坚期内各级各类扶贫资金管理的实施意见》（冀财办〔2018〕47号）要求，严格落实扶贫资金项目公告公示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bCs/>
          <w:sz w:val="32"/>
        </w:rPr>
      </w:pPr>
      <w:r>
        <w:rPr>
          <w:rFonts w:hint="eastAsia" w:ascii="仿宋_GB2312" w:hAnsi="仿宋" w:eastAsia="仿宋_GB2312"/>
          <w:bCs/>
          <w:sz w:val="32"/>
        </w:rPr>
        <w:t>三、根据《河北省人民政府印发关于建立涉农资金统筹整合长效机制实施方案的通知》（冀政字〔2018〕40号）要求，在完成约束性任务的前提下，依据当地产业发展需求，区分轻重缓急，可在同一大专项内调剂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 w:eastAsia="仿宋_GB2312"/>
          <w:bCs/>
          <w:sz w:val="32"/>
        </w:rPr>
        <w:t>四、</w:t>
      </w:r>
      <w:r>
        <w:rPr>
          <w:rFonts w:hint="eastAsia" w:ascii="仿宋_GB2312" w:hAnsi="仿宋_GB2312" w:eastAsia="仿宋_GB2312" w:cs="仿宋_GB2312"/>
          <w:sz w:val="32"/>
          <w:szCs w:val="32"/>
          <w:lang w:val="en-US" w:eastAsia="zh-CN"/>
        </w:rPr>
        <w:t>严格按照规定专款专用，</w:t>
      </w:r>
      <w:r>
        <w:rPr>
          <w:rFonts w:hint="eastAsia" w:ascii="仿宋_GB2312" w:eastAsia="仿宋_GB2312"/>
          <w:sz w:val="32"/>
        </w:rPr>
        <w:t>严禁挤占、截留和挪用，</w:t>
      </w:r>
      <w:r>
        <w:rPr>
          <w:rFonts w:hint="eastAsia" w:ascii="仿宋_GB2312" w:hAnsi="仿宋_GB2312" w:eastAsia="仿宋_GB2312" w:cs="仿宋_GB2312"/>
          <w:sz w:val="32"/>
          <w:szCs w:val="32"/>
          <w:lang w:eastAsia="zh-CN"/>
        </w:rPr>
        <w:t>切实管好用好资金，提高财政资金使用效益，确保项目顺利实施，完善绩效目标管理，做好绩效运行监控和绩效评价。在规定时间内向区财政局经济建设科反馈专项资金廉政提示函回执。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bCs/>
          <w:sz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1.高新区财政局专项资金廉政提示函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2.高新区财政局专项资金廉政提示函回执</w:t>
      </w:r>
    </w:p>
    <w:p>
      <w:pPr>
        <w:keepNext w:val="0"/>
        <w:keepLines w:val="0"/>
        <w:pageBreakBefore w:val="0"/>
        <w:widowControl w:val="0"/>
        <w:kinsoku/>
        <w:wordWrap/>
        <w:overflowPunct/>
        <w:topLinePunct w:val="0"/>
        <w:autoSpaceDE/>
        <w:autoSpaceDN/>
        <w:bidi w:val="0"/>
        <w:adjustRightInd/>
        <w:snapToGrid/>
        <w:spacing w:line="600" w:lineRule="exact"/>
        <w:ind w:left="1920" w:hanging="1920" w:hangingChars="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3.河北省提前下达2020年中央财政林业改革发展资金区域绩效目标表</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ind w:firstLine="3200" w:firstLineChars="10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承德高新技术产业开发区财政局</w:t>
      </w:r>
    </w:p>
    <w:p>
      <w:pPr>
        <w:ind w:firstLine="4160" w:firstLineChars="1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2020年3月24日</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spacing w:line="500" w:lineRule="exact"/>
        <w:rPr>
          <w:rFonts w:hint="eastAsia" w:ascii="黑体" w:hAnsi="黑体" w:eastAsia="黑体"/>
          <w:sz w:val="36"/>
          <w:szCs w:val="36"/>
        </w:rPr>
      </w:pPr>
      <w:r>
        <w:rPr>
          <w:rFonts w:hint="eastAsia" w:ascii="黑体" w:hAnsi="黑体" w:eastAsia="黑体"/>
          <w:sz w:val="32"/>
          <w:szCs w:val="32"/>
        </w:rPr>
        <w:t>附件</w:t>
      </w:r>
      <w:r>
        <w:rPr>
          <w:rFonts w:hint="eastAsia" w:ascii="黑体" w:hAnsi="黑体" w:eastAsia="黑体"/>
          <w:sz w:val="32"/>
          <w:szCs w:val="32"/>
          <w:lang w:val="en-US" w:eastAsia="zh-CN"/>
        </w:rPr>
        <w:t>1</w:t>
      </w:r>
      <w:r>
        <w:rPr>
          <w:rFonts w:hint="eastAsia" w:ascii="黑体" w:hAnsi="黑体" w:eastAsia="黑体"/>
          <w:sz w:val="32"/>
          <w:szCs w:val="32"/>
        </w:rPr>
        <w:t>：</w:t>
      </w:r>
    </w:p>
    <w:p>
      <w:pPr>
        <w:spacing w:line="500" w:lineRule="exact"/>
        <w:ind w:firstLine="2640" w:firstLineChars="600"/>
        <w:rPr>
          <w:rFonts w:hint="eastAsia" w:ascii="方正小标宋_GBK" w:eastAsia="方正小标宋_GBK"/>
          <w:sz w:val="44"/>
          <w:szCs w:val="44"/>
        </w:rPr>
      </w:pPr>
    </w:p>
    <w:p>
      <w:pPr>
        <w:spacing w:line="500" w:lineRule="exact"/>
        <w:jc w:val="center"/>
        <w:rPr>
          <w:rFonts w:hint="eastAsia" w:ascii="方正小标宋_GBK" w:eastAsia="方正小标宋_GBK"/>
          <w:sz w:val="44"/>
          <w:szCs w:val="44"/>
        </w:rPr>
      </w:pPr>
      <w:r>
        <w:rPr>
          <w:rFonts w:hint="eastAsia" w:ascii="方正小标宋_GBK" w:eastAsia="方正小标宋_GBK"/>
          <w:sz w:val="44"/>
          <w:szCs w:val="44"/>
        </w:rPr>
        <w:t>高新区财政局专项资金廉政提示函</w:t>
      </w:r>
    </w:p>
    <w:p>
      <w:pPr>
        <w:spacing w:line="460" w:lineRule="exact"/>
        <w:rPr>
          <w:rFonts w:hint="eastAsia" w:ascii="仿宋" w:hAnsi="仿宋" w:eastAsia="仿宋"/>
          <w:sz w:val="32"/>
          <w:szCs w:val="32"/>
        </w:rPr>
      </w:pPr>
      <w:r>
        <w:rPr>
          <w:rFonts w:hint="eastAsia" w:ascii="仿宋" w:hAnsi="仿宋" w:eastAsia="仿宋"/>
          <w:sz w:val="32"/>
          <w:szCs w:val="32"/>
        </w:rPr>
        <w:t xml:space="preserve">     </w:t>
      </w:r>
    </w:p>
    <w:p>
      <w:pPr>
        <w:spacing w:line="46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为全面落实党风廉政建设“两个责任”，进一步建立健全廉政风险防控机制和财政专项资金管控机制，充分发挥财政资金使用效益，促进干部廉洁从政，确保财政资金安全使用，现提出廉政提示如下：</w:t>
      </w:r>
    </w:p>
    <w:p>
      <w:pPr>
        <w:spacing w:line="460" w:lineRule="exact"/>
        <w:ind w:firstLine="793" w:firstLineChars="248"/>
        <w:rPr>
          <w:rFonts w:hint="eastAsia" w:ascii="仿宋_GB2312" w:hAnsi="仿宋_GB2312" w:eastAsia="仿宋_GB2312" w:cs="仿宋_GB2312"/>
          <w:sz w:val="32"/>
          <w:szCs w:val="32"/>
        </w:rPr>
      </w:pPr>
      <w:r>
        <w:rPr>
          <w:rFonts w:hint="eastAsia" w:ascii="黑体" w:hAnsi="黑体" w:eastAsia="黑体"/>
          <w:sz w:val="32"/>
          <w:szCs w:val="32"/>
        </w:rPr>
        <w:t>一、加强资金监管，确保资金安全。</w:t>
      </w:r>
      <w:r>
        <w:rPr>
          <w:rFonts w:hint="eastAsia" w:ascii="仿宋_GB2312" w:hAnsi="仿宋_GB2312" w:eastAsia="仿宋_GB2312" w:cs="仿宋_GB2312"/>
          <w:sz w:val="32"/>
          <w:szCs w:val="32"/>
        </w:rPr>
        <w:t>局各处室要按照要求及时下达、拨付专项资金，并加强财政专项资金的日常管理和监督检查；相关部门（单位）要严格按照有关制度规定安排使用专项资金，加快支出进度，确保专款专用（另有要求的除外），严禁违法违规贪污挤占、克扣、截留挪用，充分发挥财政专项资金使用效益。</w:t>
      </w:r>
    </w:p>
    <w:p>
      <w:pPr>
        <w:spacing w:line="460" w:lineRule="exact"/>
        <w:ind w:firstLine="800" w:firstLineChars="250"/>
        <w:rPr>
          <w:rFonts w:hint="eastAsia" w:ascii="仿宋_GB2312" w:hAnsi="仿宋_GB2312" w:eastAsia="仿宋_GB2312" w:cs="仿宋_GB2312"/>
          <w:b/>
          <w:bCs/>
          <w:sz w:val="32"/>
          <w:szCs w:val="32"/>
        </w:rPr>
      </w:pPr>
      <w:bookmarkStart w:id="0" w:name="OLE_LINK1"/>
      <w:bookmarkStart w:id="1" w:name="OLE_LINK2"/>
      <w:r>
        <w:rPr>
          <w:rFonts w:hint="eastAsia" w:ascii="黑体" w:hAnsi="黑体" w:eastAsia="黑体"/>
          <w:sz w:val="32"/>
          <w:szCs w:val="32"/>
        </w:rPr>
        <w:t>二、畅通监督渠道，严控违法违规使用专项资金。</w:t>
      </w:r>
      <w:r>
        <w:rPr>
          <w:rFonts w:hint="eastAsia" w:ascii="仿宋_GB2312" w:hAnsi="仿宋_GB2312" w:eastAsia="仿宋_GB2312" w:cs="仿宋_GB2312"/>
          <w:sz w:val="32"/>
          <w:szCs w:val="32"/>
        </w:rPr>
        <w:t>局内各处室和相关部门在财政专项资金管理使用工作中，要及时将资金下达和安排使用情况按规定要求上报，对需要信息公开的要及时公开。对发现有违法违规使用专项资金</w:t>
      </w:r>
      <w:bookmarkEnd w:id="0"/>
      <w:bookmarkEnd w:id="1"/>
      <w:r>
        <w:rPr>
          <w:rFonts w:hint="eastAsia" w:ascii="仿宋_GB2312" w:hAnsi="仿宋_GB2312" w:eastAsia="仿宋_GB2312" w:cs="仿宋_GB2312"/>
          <w:sz w:val="32"/>
          <w:szCs w:val="32"/>
        </w:rPr>
        <w:t>的，请及时向区纪检组监察室和区财政局综合处、区财政局监督稽查处投诉举报（区纪检组监察室举报电话：2122588，区财政局综合处举报电话：2555250，区财政局监督稽查处举报电话：2121035）。对于举报问题，纪检监察机关和市财政局将严肃查处问责，涉及违法问题移送司法机关处理。</w:t>
      </w:r>
    </w:p>
    <w:p>
      <w:pPr>
        <w:spacing w:line="460" w:lineRule="exact"/>
        <w:ind w:firstLine="640" w:firstLineChars="200"/>
        <w:rPr>
          <w:rFonts w:hint="eastAsia" w:ascii="黑体" w:hAnsi="黑体" w:eastAsia="黑体"/>
          <w:sz w:val="32"/>
          <w:szCs w:val="32"/>
        </w:rPr>
      </w:pPr>
      <w:r>
        <w:rPr>
          <w:rFonts w:hint="eastAsia" w:ascii="黑体" w:hAnsi="黑体" w:eastAsia="黑体"/>
          <w:sz w:val="32"/>
          <w:szCs w:val="32"/>
        </w:rPr>
        <w:t>三、分级负责、及时反馈。</w:t>
      </w:r>
    </w:p>
    <w:p>
      <w:pPr>
        <w:spacing w:line="460" w:lineRule="exact"/>
        <w:ind w:firstLine="640" w:firstLineChars="200"/>
        <w:rPr>
          <w:rFonts w:hint="eastAsia" w:ascii="仿宋" w:hAnsi="仿宋" w:eastAsia="仿宋"/>
          <w:sz w:val="32"/>
          <w:szCs w:val="32"/>
        </w:rPr>
      </w:pPr>
      <w:r>
        <w:rPr>
          <w:rFonts w:hint="eastAsia" w:ascii="仿宋" w:hAnsi="仿宋" w:eastAsia="仿宋"/>
          <w:sz w:val="32"/>
          <w:szCs w:val="32"/>
        </w:rPr>
        <w:t>按照分级负责原则，此函要求逐级下发，直至资金使用终端。</w:t>
      </w:r>
    </w:p>
    <w:p>
      <w:pPr>
        <w:spacing w:line="460" w:lineRule="exact"/>
        <w:ind w:firstLine="640" w:firstLineChars="200"/>
        <w:rPr>
          <w:rFonts w:hint="eastAsia" w:ascii="黑体" w:hAnsi="黑体" w:eastAsia="黑体"/>
          <w:sz w:val="32"/>
          <w:szCs w:val="32"/>
        </w:rPr>
      </w:pPr>
      <w:r>
        <w:rPr>
          <w:rFonts w:hint="eastAsia" w:ascii="仿宋" w:hAnsi="仿宋" w:eastAsia="仿宋"/>
          <w:sz w:val="32"/>
          <w:szCs w:val="32"/>
        </w:rPr>
        <w:t>收文单位要在接到此函后15日内向区财政局发文处室反馈此函回执（回执模板附后）。区财政局发文处室和收文单位要认真做好收函回执的填制、回收和存档工作，以备检查。</w:t>
      </w:r>
    </w:p>
    <w:p>
      <w:pPr>
        <w:spacing w:line="500" w:lineRule="exact"/>
        <w:rPr>
          <w:rFonts w:hint="eastAsia" w:ascii="黑体" w:hAnsi="黑体" w:eastAsia="黑体"/>
          <w:sz w:val="36"/>
          <w:szCs w:val="36"/>
        </w:rPr>
      </w:pPr>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w:t>
      </w:r>
    </w:p>
    <w:p>
      <w:pPr>
        <w:spacing w:line="500" w:lineRule="exact"/>
        <w:ind w:firstLine="2640" w:firstLineChars="600"/>
        <w:rPr>
          <w:rFonts w:hint="eastAsia" w:ascii="方正小标宋_GBK" w:eastAsia="方正小标宋_GBK"/>
          <w:sz w:val="44"/>
          <w:szCs w:val="44"/>
        </w:rPr>
      </w:pPr>
    </w:p>
    <w:p>
      <w:pPr>
        <w:spacing w:line="500" w:lineRule="exact"/>
        <w:jc w:val="center"/>
        <w:rPr>
          <w:rFonts w:hint="eastAsia" w:ascii="方正小标宋_GBK" w:eastAsia="方正小标宋_GBK"/>
          <w:sz w:val="44"/>
          <w:szCs w:val="44"/>
        </w:rPr>
      </w:pPr>
      <w:r>
        <w:rPr>
          <w:rFonts w:hint="eastAsia" w:ascii="方正小标宋_GBK" w:eastAsia="方正小标宋_GBK"/>
          <w:sz w:val="44"/>
          <w:szCs w:val="44"/>
        </w:rPr>
        <w:t>高新区财政局专项资金廉政提示函回执</w:t>
      </w:r>
    </w:p>
    <w:p>
      <w:pPr>
        <w:spacing w:line="480" w:lineRule="exact"/>
        <w:rPr>
          <w:rFonts w:hint="eastAsia" w:ascii="宋体" w:hAnsi="宋体"/>
          <w:sz w:val="30"/>
          <w:szCs w:val="30"/>
        </w:rPr>
      </w:pPr>
    </w:p>
    <w:tbl>
      <w:tblPr>
        <w:tblStyle w:val="4"/>
        <w:tblW w:w="0" w:type="auto"/>
        <w:tblInd w:w="0" w:type="dxa"/>
        <w:tblLayout w:type="fixed"/>
        <w:tblCellMar>
          <w:top w:w="15" w:type="dxa"/>
          <w:left w:w="15" w:type="dxa"/>
          <w:bottom w:w="15" w:type="dxa"/>
          <w:right w:w="15" w:type="dxa"/>
        </w:tblCellMar>
      </w:tblPr>
      <w:tblGrid>
        <w:gridCol w:w="1965"/>
        <w:gridCol w:w="2119"/>
        <w:gridCol w:w="101"/>
        <w:gridCol w:w="2187"/>
        <w:gridCol w:w="2015"/>
      </w:tblGrid>
      <w:tr>
        <w:tblPrEx>
          <w:tblCellMar>
            <w:top w:w="15" w:type="dxa"/>
            <w:left w:w="15" w:type="dxa"/>
            <w:bottom w:w="15" w:type="dxa"/>
            <w:right w:w="15" w:type="dxa"/>
          </w:tblCellMar>
        </w:tblPrEx>
        <w:trPr>
          <w:trHeight w:val="795" w:hRule="atLeast"/>
        </w:trPr>
        <w:tc>
          <w:tcPr>
            <w:tcW w:w="19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文件名称</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文号</w:t>
            </w:r>
          </w:p>
        </w:tc>
        <w:tc>
          <w:tcPr>
            <w:tcW w:w="228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收文时间</w:t>
            </w:r>
          </w:p>
        </w:tc>
        <w:tc>
          <w:tcPr>
            <w:tcW w:w="2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收件人</w:t>
            </w:r>
          </w:p>
        </w:tc>
      </w:tr>
      <w:tr>
        <w:tblPrEx>
          <w:tblCellMar>
            <w:top w:w="15" w:type="dxa"/>
            <w:left w:w="15" w:type="dxa"/>
            <w:bottom w:w="15" w:type="dxa"/>
            <w:right w:w="15" w:type="dxa"/>
          </w:tblCellMar>
        </w:tblPrEx>
        <w:trPr>
          <w:trHeight w:val="795" w:hRule="atLeast"/>
        </w:trPr>
        <w:tc>
          <w:tcPr>
            <w:tcW w:w="196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11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288"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01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795" w:hRule="atLeast"/>
        </w:trPr>
        <w:tc>
          <w:tcPr>
            <w:tcW w:w="196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11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288"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01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795" w:hRule="atLeast"/>
        </w:trPr>
        <w:tc>
          <w:tcPr>
            <w:tcW w:w="196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119"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288"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c>
          <w:tcPr>
            <w:tcW w:w="201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1215" w:hRule="atLeast"/>
        </w:trPr>
        <w:tc>
          <w:tcPr>
            <w:tcW w:w="1965" w:type="dxa"/>
            <w:vMerge w:val="restar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收文单位签章（加盖单位公章或财务章）</w:t>
            </w:r>
          </w:p>
        </w:tc>
        <w:tc>
          <w:tcPr>
            <w:tcW w:w="6422" w:type="dxa"/>
            <w:gridSpan w:val="4"/>
            <w:tcBorders>
              <w:top w:val="single" w:color="000000" w:sz="4" w:space="0"/>
              <w:left w:val="single" w:color="000000" w:sz="4" w:space="0"/>
              <w:right w:val="single" w:color="000000" w:sz="4" w:space="0"/>
            </w:tcBorders>
            <w:noWrap w:val="0"/>
            <w:vAlign w:val="top"/>
          </w:tcPr>
          <w:p>
            <w:pPr>
              <w:widowControl/>
              <w:jc w:val="center"/>
              <w:textAlignment w:val="top"/>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30"/>
                <w:szCs w:val="30"/>
                <w:lang w:bidi="ar"/>
              </w:rPr>
              <w:t>高新区财政局专项资金廉政提示函已送达我单位</w:t>
            </w:r>
            <w:r>
              <w:rPr>
                <w:rFonts w:hint="eastAsia" w:ascii="仿宋_GB2312" w:hAnsi="宋体" w:eastAsia="仿宋_GB2312" w:cs="仿宋_GB2312"/>
                <w:color w:val="000000"/>
                <w:kern w:val="0"/>
                <w:sz w:val="28"/>
                <w:szCs w:val="28"/>
                <w:lang w:bidi="ar"/>
              </w:rPr>
              <w:t xml:space="preserve">                                                </w:t>
            </w:r>
          </w:p>
        </w:tc>
      </w:tr>
      <w:tr>
        <w:tblPrEx>
          <w:tblCellMar>
            <w:top w:w="15" w:type="dxa"/>
            <w:left w:w="15" w:type="dxa"/>
            <w:bottom w:w="15" w:type="dxa"/>
            <w:right w:w="15" w:type="dxa"/>
          </w:tblCellMar>
        </w:tblPrEx>
        <w:trPr>
          <w:trHeight w:val="1500" w:hRule="atLeast"/>
        </w:trPr>
        <w:tc>
          <w:tcPr>
            <w:tcW w:w="196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hAnsi="宋体" w:eastAsia="仿宋_GB2312" w:cs="仿宋_GB2312"/>
                <w:color w:val="000000"/>
                <w:sz w:val="28"/>
                <w:szCs w:val="28"/>
              </w:rPr>
            </w:pPr>
          </w:p>
        </w:tc>
        <w:tc>
          <w:tcPr>
            <w:tcW w:w="2220" w:type="dxa"/>
            <w:gridSpan w:val="2"/>
            <w:tcBorders>
              <w:left w:val="single" w:color="000000" w:sz="4" w:space="0"/>
              <w:bottom w:val="single" w:color="000000" w:sz="4" w:space="0"/>
            </w:tcBorders>
            <w:noWrap w:val="0"/>
            <w:vAlign w:val="top"/>
          </w:tcPr>
          <w:p>
            <w:pPr>
              <w:rPr>
                <w:rFonts w:hint="eastAsia" w:ascii="仿宋_GB2312" w:hAnsi="宋体" w:eastAsia="仿宋_GB2312" w:cs="仿宋_GB2312"/>
                <w:color w:val="000000"/>
                <w:sz w:val="30"/>
                <w:szCs w:val="30"/>
              </w:rPr>
            </w:pPr>
          </w:p>
        </w:tc>
        <w:tc>
          <w:tcPr>
            <w:tcW w:w="4202" w:type="dxa"/>
            <w:gridSpan w:val="2"/>
            <w:tcBorders>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30"/>
                <w:szCs w:val="30"/>
              </w:rPr>
            </w:pPr>
            <w:r>
              <w:rPr>
                <w:rFonts w:hint="eastAsia" w:ascii="仿宋_GB2312" w:hAnsi="宋体" w:eastAsia="仿宋_GB2312" w:cs="仿宋_GB2312"/>
                <w:color w:val="000000"/>
                <w:kern w:val="0"/>
                <w:sz w:val="30"/>
                <w:szCs w:val="30"/>
                <w:lang w:bidi="ar"/>
              </w:rPr>
              <w:t>年  月  日</w:t>
            </w:r>
          </w:p>
        </w:tc>
      </w:tr>
    </w:tbl>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r>
        <w:rPr>
          <w:rFonts w:hint="eastAsia" w:ascii="仿宋" w:hAnsi="仿宋" w:eastAsia="仿宋"/>
          <w:sz w:val="30"/>
          <w:szCs w:val="30"/>
        </w:rPr>
        <w:t>说明：此回执一式二份，由区财政局发文处室随指标文件发至收文单位，其中一份由收件人签字、收文单位签章后于15日内返送区财政局发文处室与指标文件共同存档，另一份由收文单位签章后与指标文件共同存档。</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_GB2312" w:eastAsia="仿宋_GB2312"/>
          <w:snapToGrid w:val="0"/>
          <w:color w:val="auto"/>
          <w:kern w:val="0"/>
          <w:sz w:val="32"/>
          <w:szCs w:val="32"/>
          <w:u w:val="none" w:color="auto"/>
        </w:rPr>
      </w:pPr>
    </w:p>
    <w:p>
      <w:pPr>
        <w:rPr>
          <w:rFonts w:hint="eastAsia" w:ascii="仿宋_GB2312" w:hAnsi="仿宋_GB2312" w:eastAsia="仿宋_GB2312" w:cs="仿宋_GB2312"/>
          <w:sz w:val="32"/>
          <w:szCs w:val="32"/>
          <w:lang w:eastAsia="zh-CN"/>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45085</wp:posOffset>
                </wp:positionV>
                <wp:extent cx="57150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3.55pt;height:0pt;width:450pt;z-index:251660288;mso-width-relative:page;mso-height-relative:page;" filled="f" stroked="t" coordsize="21600,21600" o:gfxdata="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J&#10;f2jy0AAAAAUBAAAPAAAAAAAAAAEAIAAAACIAAABkcnMvZG93bnJldi54bWxQSwECFAAUAAAACACH&#10;TuJA7ki+b/MBAADlAwAADgAAAAAAAAABACAAAAAfAQAAZHJzL2Uyb0RvYy54bWxQSwUGAAAAAAYA&#10;BgBZAQAAhAUAAAAA&#10;">
                <v:fill on="f" focussize="0,0"/>
                <v:stroke weight="1.5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398145</wp:posOffset>
                </wp:positionV>
                <wp:extent cx="57150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31.35pt;height:0pt;width:450pt;z-index:251659264;mso-width-relative:page;mso-height-relative:page;" filled="f" stroked="t" coordsize="21600,21600" o:gfxdata="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joxzvSAAAABwEAAA8AAAAAAAAAAQAgAAAAIgAAAGRycy9kb3ducmV2LnhtbFBLAQIUABQAAAAI&#10;AIdO4kBFhdnQ8wEAAOUDAAAOAAAAAAAAAAEAIAAAACEBAABkcnMvZTJvRG9jLnhtbFBLBQYAAAAA&#10;BgAGAFkBAACGBQAAAAA=&#10;">
                <v:fill on="f" focussize="0,0"/>
                <v:stroke weight="1.5pt" color="#000000" joinstyle="round"/>
                <v:imagedata o:title=""/>
                <o:lock v:ext="edit" aspectratio="f"/>
              </v:line>
            </w:pict>
          </mc:Fallback>
        </mc:AlternateContent>
      </w:r>
      <w:r>
        <w:rPr>
          <w:rFonts w:hint="eastAsia" w:ascii="仿宋_GB2312" w:eastAsia="仿宋_GB2312"/>
          <w:sz w:val="28"/>
          <w:szCs w:val="28"/>
          <w:lang w:eastAsia="zh-CN"/>
        </w:rPr>
        <w:t>承德高新技术产业开发区财政局</w:t>
      </w:r>
      <w:r>
        <w:rPr>
          <w:rFonts w:hint="eastAsia" w:ascii="仿宋_GB2312" w:eastAsia="仿宋_GB2312"/>
          <w:sz w:val="28"/>
          <w:szCs w:val="28"/>
        </w:rPr>
        <w:t xml:space="preserve">           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24</w:t>
      </w:r>
      <w:r>
        <w:rPr>
          <w:rFonts w:hint="eastAsia" w:ascii="仿宋_GB2312" w:eastAsia="仿宋_GB2312"/>
          <w:sz w:val="28"/>
          <w:szCs w:val="28"/>
        </w:rPr>
        <w:t>日印发</w:t>
      </w:r>
      <w:r>
        <w:rPr>
          <w:rFonts w:hint="eastAsia" w:ascii="仿宋_GB2312" w:hAnsi="宋体" w:eastAsia="仿宋_GB2312"/>
          <w:sz w:val="32"/>
          <w:szCs w:val="32"/>
          <w:lang w:val="en-US" w:eastAsia="zh-CN"/>
        </w:rPr>
        <w:t xml:space="preserve">      </w:t>
      </w:r>
    </w:p>
    <w:sectPr>
      <w:footerReference r:id="rId3"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B308E"/>
    <w:rsid w:val="02307CB2"/>
    <w:rsid w:val="055819B9"/>
    <w:rsid w:val="06AB308E"/>
    <w:rsid w:val="06E8163E"/>
    <w:rsid w:val="07145D44"/>
    <w:rsid w:val="0CBE79FD"/>
    <w:rsid w:val="0F5B244D"/>
    <w:rsid w:val="131428E2"/>
    <w:rsid w:val="1E6F279B"/>
    <w:rsid w:val="20890416"/>
    <w:rsid w:val="21CD083F"/>
    <w:rsid w:val="23240E98"/>
    <w:rsid w:val="2473487D"/>
    <w:rsid w:val="319E59BC"/>
    <w:rsid w:val="35093F79"/>
    <w:rsid w:val="37942D3B"/>
    <w:rsid w:val="3B52072B"/>
    <w:rsid w:val="481C3E29"/>
    <w:rsid w:val="51C92C23"/>
    <w:rsid w:val="6AA95495"/>
    <w:rsid w:val="6E476FA1"/>
    <w:rsid w:val="759A54D2"/>
    <w:rsid w:val="76741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2020-03-24T07:00:00Z</dcterms:created>
  <dc:creator>枫</dc:creator>
  <cp:lastModifiedBy>Administrator</cp:lastModifiedBy>
  <dcterms:modified xsi:type="dcterms:W3CDTF">2021-05-31T02:22:34Z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ED074CFCD37B42A1B0C1E5FEF372AABF</vt:lpwstr>
  </property>
</Properties>
</file>