
<file path=[Content_Types].xml><?xml version="1.0" encoding="utf-8"?>
<Types xmlns="http://schemas.openxmlformats.org/package/2006/content-types">
  <Default Extension="xml" ContentType="application/xml"/>
  <Default Extension="xlsx" ContentType="application/vnd.openxmlformats-officedocument.spreadsheetml.sheet"/>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type w:val="continuous"/>
          <w:pgSz w:w="11906" w:h="16838"/>
          <w:pgMar w:top="0" w:right="0" w:bottom="0" w:left="0" w:header="851" w:footer="992" w:gutter="0"/>
          <w:cols w:space="425" w:num="1"/>
          <w:titlePg/>
          <w:docGrid w:type="lines" w:linePitch="312" w:charSpace="0"/>
        </w:sectPr>
      </w:pPr>
      <w:r>
        <w:pict>
          <v:shape id="文本框 10" o:spid="_x0000_s1064" o:spt="202" type="#_x0000_t202" style="position:absolute;left:0pt;margin-left:106.25pt;margin-top:693.55pt;height:79.95pt;width:404.15pt;z-index:2516746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二〇二〇年九月</w:t>
                  </w:r>
                </w:p>
              </w:txbxContent>
            </v:textbox>
          </v:shape>
        </w:pict>
      </w:r>
      <w:r>
        <w:pict>
          <v:shape id="椭圆 8" o:spid="_x0000_s1063" o:spt="3" type="#_x0000_t3" style="position:absolute;left:0pt;margin-left:53.5pt;margin-top:232.45pt;height:121.95pt;width:121.95pt;z-index:251671552;v-text-anchor:middle;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">
            <v:path/>
            <v:fill on="t" focussize="0,0"/>
            <v:stroke on="f" weight="1pt" joinstyle="miter"/>
            <v:imagedata o:title=""/>
            <o:lock v:ext="edit"/>
            <v:textbox>
              <w:txbxContent>
                <w:p>
                  <w:pPr>
                    <w:jc w:val="center"/>
                  </w:pPr>
                </w:p>
              </w:txbxContent>
            </v:textbox>
          </v:shape>
        </w:pict>
      </w:r>
      <w:r>
        <w:pict>
          <v:rect id="矩形 14" o:spid="_x0000_s1062" o:spt="1" style="position:absolute;left:0pt;margin-left:33.6pt;margin-top:256.75pt;height:69.6pt;width:160.65pt;z-index:2516766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61" o:spt="3" type="#_x0000_t3" style="position:absolute;left:0pt;margin-left:62.2pt;margin-top:242.75pt;height:103.45pt;width:103.45pt;z-index:251675648;v-text-anchor:middle;mso-width-relative:page;mso-height-relative:page;" fillcolor="#1F2959"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">
            <v:path/>
            <v:fill on="t" focussize="0,0"/>
            <v:stroke on="f" weight="1pt" joinstyle="miter"/>
            <v:imagedata o:title=""/>
            <o:lock v:ext="edit"/>
            <v:textbox>
              <w:txbxContent>
                <w:p>
                  <w:pPr>
                    <w:jc w:val="center"/>
                  </w:pPr>
                </w:p>
              </w:txbxContent>
            </v:textbox>
          </v:shape>
        </w:pict>
      </w:r>
      <w:r>
        <w:pict>
          <v:group id="组合 17" o:spid="_x0000_s1058" o:spt="203" style="position:absolute;left:0pt;margin-left:1.25pt;margin-top:821.7pt;height:21.45pt;width:595.25pt;z-index:251672576;mso-width-relative:page;mso-height-relative:page;"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">
            <o:lock v:ext="edit"/>
            <v:rect id="矩形 6" o:spid="_x0000_s1059" o:spt="1" style="position:absolute;left:1483;top:16692;height:428;width:1125;v-text-anchor:middle;" fillcolor="#FDBC11"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FdMUA&#10;AADbAAAADwAAAGRycy9kb3ducmV2LnhtbESP0WrCQBBF3wX/YRnBt7pRsGh0FbVYCm2hpv2AMTtN&#10;QrOz6e5W07/vPBR8m+HeuffMetu7Vl0oxMazgekkA0VcettwZeDj/Xi3ABUTssXWMxn4pQjbzXCw&#10;xtz6K5/oUqRKSQjHHA3UKXW51rGsyWGc+I5YtE8fHCZZQ6VtwKuEu1bPsuxeO2xYGmrs6FBT+VX8&#10;OANhXriUfe9fl8eGyv3jy/Pb4uFszHjU71agEvXpZv6/frKCL7Dyiw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kV0xQAAANsAAAAPAAAAAAAAAAAAAAAAAJgCAABkcnMv&#10;ZG93bnJldi54bWxQSwUGAAAAAAQABAD1AAAAigMAAAAA&#10;">
              <v:path/>
              <v:fill on="t" focussize="0,0"/>
              <v:stroke on="f" weight="1pt"/>
              <v:imagedata o:title=""/>
              <o:lock v:ext="edit"/>
            </v:rect>
            <v:rect id="矩形 7" o:spid="_x0000_s1060" o:spt="1" style="position:absolute;left:2608;top:16693;height:428;width:10780;v-text-anchor:middle;" fillcolor="#1F2959"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GIsEA&#10;AADbAAAADwAAAGRycy9kb3ducmV2LnhtbERPyWrDMBC9F/oPYgq91XICDakbOaQlgR5yiVPodbDG&#10;SyyNjKU49t9XhUJu83jrbLaTNWKkwbeOFSySFARx6XTLtYLv8+FlDcIHZI3GMSmYycM2f3zYYKbd&#10;jU80FqEWMYR9hgqaEPpMSl82ZNEnrieOXOUGiyHCoZZ6wFsMt0Yu03QlLbYcGxrs6bOhsiuuVsEy&#10;rK8fl/ZnNr25jFi9VsduL5V6fpp27yACTeEu/nd/6Tj/Df5+i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xiLBAAAA2wAAAA8AAAAAAAAAAAAAAAAAmAIAAGRycy9kb3du&#10;cmV2LnhtbFBLBQYAAAAABAAEAPUAAACGAwAAAAA=&#10;">
              <v:path/>
              <v:fill on="t" focussize="0,0"/>
              <v:stroke on="f" weight="1pt"/>
              <v:imagedata o:title=""/>
              <o:lock v:ext="edit"/>
            </v:rect>
          </v:group>
        </w:pict>
      </w:r>
      <w:r>
        <w:pict>
          <v:rect id="矩形 11" o:spid="_x0000_s1054" o:spt="1" style="position:absolute;left:0pt;margin-left:184.75pt;margin-top:286.6pt;height:31.25pt;width:339.65pt;mso-wrap-style:none;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">
            <v:path/>
            <v:fill on="f" focussize="0,0"/>
            <v:stroke on="f"/>
            <v:imagedata o:title=""/>
            <o:lock v:ext="edit"/>
            <v:textbox style="mso-fit-shape-to-text:t;">
              <w:txbxContent>
                <w:p/>
              </w:txbxContent>
            </v:textbox>
          </v:rect>
        </w:pict>
      </w:r>
      <w:r>
        <w:rPr>
          <w:rFonts w:hint="eastAsia"/>
        </w:rPr>
        <w:t xml:space="preserve"> </w:t>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p>
    <w:p>
      <w:pPr>
        <w:tabs>
          <w:tab w:val="left" w:pos="2728"/>
        </w:tabs>
        <w:jc w:val="right"/>
        <w:rPr>
          <w:rFonts w:ascii="黑体" w:hAnsi="Times New Roman" w:eastAsia="黑体" w:cs="Times New Roman"/>
          <w:sz w:val="72"/>
          <w:szCs w:val="72"/>
        </w:rPr>
      </w:pPr>
      <w:r>
        <w:rPr>
          <w:rFonts w:hint="eastAsia" w:ascii="黑体" w:hAnsi="Times New Roman" w:eastAsia="黑体" w:cs="Times New Roman"/>
          <w:sz w:val="72"/>
          <w:szCs w:val="72"/>
        </w:rPr>
        <w:t>部门决算公开文本</w:t>
      </w:r>
    </w:p>
    <w:p>
      <w:pPr>
        <w:widowControl/>
        <w:jc w:val="center"/>
        <w:rPr>
          <w:rFonts w:ascii="黑体" w:hAnsi="Times New Roman" w:eastAsia="黑体" w:cs="Times New Roman"/>
          <w:sz w:val="48"/>
          <w:szCs w:val="48"/>
        </w:rPr>
      </w:pPr>
      <w:r>
        <w:rPr>
          <w:rFonts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承德高新技术产业开发区财政审计监督室</w:t>
      </w:r>
    </w:p>
    <w:p>
      <w:pPr>
        <w:snapToGrid w:val="0"/>
        <w:jc w:val="center"/>
        <w:rPr>
          <w:rFonts w:ascii="楷体_GB2312" w:hAnsi="楷体_GB2312" w:eastAsia="楷体_GB2312" w:cs="楷体_GB2312"/>
          <w:color w:val="000000" w:themeColor="text1"/>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二〇二〇年九月</w:t>
      </w:r>
    </w:p>
    <w:p>
      <w:pPr>
        <w:tabs>
          <w:tab w:val="left" w:pos="2728"/>
        </w:tabs>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6028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1" focussize="0,0" r:id="rId22"/>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sectPr>
          <w:headerReference r:id="rId11" w:type="default"/>
          <w:type w:val="continuous"/>
          <w:pgSz w:w="11906" w:h="16838"/>
          <w:pgMar w:top="2041" w:right="1531" w:bottom="2041" w:left="1531" w:header="851" w:footer="992" w:gutter="0"/>
          <w:pgNumType w:fmt="numberInDash"/>
          <w:cols w:space="0" w:num="1"/>
          <w:titlePg/>
          <w:docGrid w:type="lines" w:linePitch="312" w:charSpace="0"/>
        </w:sectPr>
      </w:pP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pacing w:line="580" w:lineRule="exact"/>
        <w:ind w:firstLine="640" w:firstLineChars="200"/>
        <w:jc w:val="left"/>
        <w:outlineLvl w:val="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高新区财政审计监督室主要负责接受高新区工、管委和市审计局的双重领导，编制全区审计工作计划，参与拟定区内有关审计、财经方面的政策规章，为领导科学决策提出合理建议；负责对区本级财政预算执行及决算、托管镇政府预算执行和决算进行审计，并出具审计报告；负责对区直各部门、托管镇、社区办、事业单位及下属单位、社会团体、区属国有企业的财务收支情况进行审计，并出具审计报告；负责对区本级管理及上级拨付的专项资金、基金的财务收支进行审计，并出具审计报告；负责对国有资产投资或融资为主的基本建设项目的预算执行情况和决算进行审计，或根据工作需要，采取招投标等方式委托具有法定资质的社会中介机构进行审计并出具审计报告；负责对党政机关、事业单位、社会团体、托管镇、社区办、区属有国有企业、其他属于区级审计监督对象任期经济责任情况进行审计，并出具审计报告；向工、管委报告审计情况，向有关部门通报审计情况，并根据审计发现的问题提出合理建议；承办工委、管委会和市审计局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年度本部门决算汇编范围的独立核算单位（以下简称“单位”）共1 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高新技术产业开发区财政审计监督室(本级)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6540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1" focussize="0,0" r:id="rId22"/>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本部门2019年度收支总计（含结转和结余）172.86万元。与2018年度决算相比，收支各增加12.78万元，增长7.98%，主要原因是2019年新调入人员两人，基本支出有所增加，由于审计项目有所增加，专项支出有所增加。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本部门2019年度本年收入合计138.55万元，其中：财政拨款收入138.55万元，占100%；事业收入0万元，占0%；经营收入0万元，占0%；其他收入0万元，占0%。</w:t>
      </w:r>
      <w:r>
        <w:rPr>
          <w:rFonts w:ascii="Times New Roman" w:hAnsi="Times New Roman" w:eastAsia="宋体" w:cs="Times New Roman"/>
          <w:szCs w:val="24"/>
        </w:rPr>
        <w:pict>
          <v:group id="_x0000_s1036" o:spid="_x0000_s1036" o:spt="203" style="position:absolute;left:0pt;margin-left:71.65pt;margin-top:19.55pt;height:217.5pt;width:308.75pt;z-index:251663360;mso-width-relative:page;mso-height-relative:page;" coordorigin="68,1802" coordsize="51,34642"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o:lock v:ext="edit"/>
            <v:shape id="图片 1" o:spid="_x0000_s1038" o:spt="75" type="#_x0000_t75" style="position:absolute;left:68;top:1802;height:30;width:51;"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joinstyle="miter"/>
              <v:imagedata r:id="rId23" cropleft="2131f" croptop="1490f" cropright="1218f" cropbottom="5217f" o:title=""/>
              <o:lock v:ext="edit" aspectratio="t"/>
            </v:shape>
            <v:shape id="文本框 32" o:spid="_x0000_s1037" o:spt="202" type="#_x0000_t202" style="position:absolute;left:75;top:1831;height:6;width:37;"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v:textbox>
            </v:shape>
          </v:group>
        </w:pic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本部门2019年度本年支出合计167.61万元，其中：基本支出71.71万元，占42.78%；项目支出95.90万元，占57.22%；经营支出0万元，占0%。如图所示：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drawing>
          <wp:anchor distT="0" distB="0" distL="114300" distR="114300" simplePos="0" relativeHeight="251668480" behindDoc="0" locked="0" layoutInCell="1" allowOverlap="1">
            <wp:simplePos x="0" y="0"/>
            <wp:positionH relativeFrom="column">
              <wp:posOffset>48895</wp:posOffset>
            </wp:positionH>
            <wp:positionV relativeFrom="paragraph">
              <wp:posOffset>147320</wp:posOffset>
            </wp:positionV>
            <wp:extent cx="5305425" cy="3095625"/>
            <wp:effectExtent l="0" t="0" r="0" b="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仿宋" w:hAnsi="仿宋" w:eastAsia="仿宋"/>
          <w:sz w:val="32"/>
          <w:szCs w:val="32"/>
        </w:rPr>
        <w:drawing>
          <wp:inline distT="0" distB="0" distL="0" distR="0">
            <wp:extent cx="5381625" cy="4133850"/>
            <wp:effectExtent l="0" t="0" r="0" b="0"/>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260" w:firstLineChars="600"/>
        <w:rPr>
          <w:rFonts w:ascii="仿宋_GB2312" w:hAnsi="Times New Roman" w:eastAsia="仿宋_GB2312" w:cs="DengXian-Regular"/>
          <w:sz w:val="32"/>
          <w:szCs w:val="32"/>
        </w:rPr>
      </w:pPr>
      <w:r>
        <w:rPr>
          <w:rFonts w:ascii="Times New Roman" w:hAnsi="Times New Roman" w:eastAsia="宋体" w:cs="Times New Roman"/>
          <w:szCs w:val="24"/>
        </w:rPr>
        <w:pict>
          <v:group id="_x0000_s1033" o:spid="_x0000_s1033" o:spt="203" style="position:absolute;left:0pt;margin-left:58.35pt;margin-top:-21.2pt;height:192.85pt;width:287.95pt;z-index:-251654144;mso-width-relative:page;mso-height-relative:page;" coordorigin="70,1907" coordsize="46,33452"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o:lock v:ext="edit"/>
            <v:shape id="图片 3" o:spid="_x0000_s1035" o:spt="75" type="#_x0000_t75" style="position:absolute;left:70;top:1907;height:27;width:46;"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path/>
              <v:fill on="f" focussize="0,0"/>
              <v:stroke on="f" joinstyle="miter"/>
              <v:imagedata r:id="rId23" cropleft="2131f" croptop="1490f" cropright="1218f" cropbottom="5217f" o:title=""/>
              <o:lock v:ext="edit" aspectratio="t"/>
            </v:shape>
            <v:shape id="_x0000_s1034" o:spid="_x0000_s1034" o:spt="202" type="#_x0000_t202" style="position:absolute;left:72;top:1934;height:6;width:42;"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图X：支出构成情况（按支出性质）</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138.55万元,比2018年度增加3.23万元，增长2.39%，主要是人员增加，人员经费较2018年有所增加；本年支出167.61万元，增加41.84万元，增长33.27%，主要是2019年新调入人员两人，基本支出有所增加，由于审计项目有所增加，专项支出有所增加。如图所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ascii="仿宋_GB2312" w:hAnsi="Times New Roman" w:eastAsia="仿宋_GB2312" w:cs="DengXian-Regular"/>
          <w:sz w:val="32"/>
          <w:szCs w:val="32"/>
        </w:rPr>
        <w:drawing>
          <wp:anchor distT="0" distB="0" distL="114300" distR="114300" simplePos="0" relativeHeight="251669504" behindDoc="0" locked="0" layoutInCell="1" allowOverlap="1">
            <wp:simplePos x="0" y="0"/>
            <wp:positionH relativeFrom="column">
              <wp:posOffset>57785</wp:posOffset>
            </wp:positionH>
            <wp:positionV relativeFrom="paragraph">
              <wp:posOffset>45720</wp:posOffset>
            </wp:positionV>
            <wp:extent cx="5229225" cy="3200400"/>
            <wp:effectExtent l="0" t="0" r="0" b="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960" w:firstLineChars="3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138.55万元，完成年初预算的65.78%,比年初预算减少72.08万元，决算数小于预算数主要原因是部分审计项目到年底未出具报告，至使该部分委托审计业务费未在当年支付；本年支出167.61万元，完成年初预算的79.58%,比年初预算减少43.02万元，决算数小于预算数主要原因是部分审计项目到年底未出具报告，至使该部分委托审计业务费未在当年支付。如图所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drawing>
          <wp:anchor distT="0" distB="0" distL="114300" distR="114300" simplePos="0" relativeHeight="251670528" behindDoc="0" locked="0" layoutInCell="1" allowOverlap="1">
            <wp:simplePos x="0" y="0"/>
            <wp:positionH relativeFrom="column">
              <wp:posOffset>1270</wp:posOffset>
            </wp:positionH>
            <wp:positionV relativeFrom="paragraph">
              <wp:posOffset>112395</wp:posOffset>
            </wp:positionV>
            <wp:extent cx="5486400" cy="3200400"/>
            <wp:effectExtent l="0" t="0" r="0" b="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2019 年度财政拨款支出167.61万元，</w:t>
      </w:r>
      <w:r>
        <w:rPr>
          <w:rFonts w:hint="eastAsia" w:ascii="仿宋_GB2312" w:eastAsia="仿宋_GB2312" w:cs="DengXian-Regular"/>
          <w:sz w:val="32"/>
          <w:szCs w:val="32"/>
        </w:rPr>
        <w:t>主要用于一般公共服务（类）支出167.61万元，占100%</w:t>
      </w:r>
      <w:r>
        <w:rPr>
          <w:rFonts w:ascii="Times New Roman" w:hAnsi="Times New Roman" w:eastAsia="宋体" w:cs="Times New Roman"/>
          <w:szCs w:val="24"/>
        </w:rPr>
        <w:pict>
          <v:group id="_x0000_s1030" o:spid="_x0000_s1030" o:spt="203" style="position:absolute;left:0pt;margin-left:77.25pt;margin-top:16.6pt;height:173.95pt;width:281.6pt;z-index:-251652096;mso-width-relative:page;mso-height-relative:page;" coordorigin="69,1802" coordsize="50,34652"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图片 1" o:spid="_x0000_s1032" o:spt="75" type="#_x0000_t75" style="position:absolute;left:71;top:1802;height:30;width:4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23" cropleft="2131f" croptop="1490f" cropright="1218f" cropbottom="5217f" o:title=""/>
              <o:lock v:ext="edit" aspectratio="t"/>
            </v:shape>
            <v:shape id="文本框 32" o:spid="_x0000_s1031" o:spt="202" type="#_x0000_t202" style="position:absolute;left:69;top:1831;height:6;width:50;"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r>
        <w:rPr>
          <w:rFonts w:hint="eastAsia" w:ascii="仿宋_GB2312"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年度一般公共预算财政拨款基本支出71.71万元，其中：</w:t>
      </w:r>
      <w:r>
        <w:rPr>
          <w:rFonts w:hint="eastAsia" w:ascii="仿宋_GB2312" w:eastAsia="仿宋_GB2312" w:cs="DengXian-Regular"/>
          <w:b/>
          <w:bCs/>
          <w:sz w:val="32"/>
          <w:szCs w:val="32"/>
        </w:rPr>
        <w:t>人员经费</w:t>
      </w:r>
      <w:r>
        <w:rPr>
          <w:rFonts w:hint="eastAsia" w:ascii="仿宋_GB2312" w:eastAsia="仿宋_GB2312" w:cs="DengXian-Regular"/>
          <w:sz w:val="32"/>
          <w:szCs w:val="32"/>
        </w:rPr>
        <w:t xml:space="preserve"> 61.74万元，主要包括基本工资26.41万元、津贴补贴2.91万元、奖金4.95万元、绩效工资5.17万元、机关事业单位基本养老保险缴费9.29万元、职业年金2.89万元、职工基本医疗保险缴费3.95万元、住房公积金5.81万元、其他社会保障缴费0.28万元、其他工资福利支出0.08万元；</w:t>
      </w:r>
      <w:r>
        <w:rPr>
          <w:rFonts w:hint="eastAsia" w:ascii="仿宋_GB2312" w:eastAsia="仿宋_GB2312" w:cs="DengXian-Regular"/>
          <w:b/>
          <w:bCs/>
          <w:sz w:val="32"/>
          <w:szCs w:val="32"/>
        </w:rPr>
        <w:t>公用经费</w:t>
      </w:r>
      <w:r>
        <w:rPr>
          <w:rFonts w:hint="eastAsia" w:ascii="仿宋_GB2312" w:eastAsia="仿宋_GB2312" w:cs="DengXian-Regular"/>
          <w:sz w:val="32"/>
          <w:szCs w:val="32"/>
        </w:rPr>
        <w:t>9.97万元，主要包括办公费4.45万元、手续费0.02万元、邮电费</w:t>
      </w:r>
      <w:bookmarkStart w:id="0" w:name="OLE_LINK4"/>
      <w:r>
        <w:rPr>
          <w:rFonts w:hint="eastAsia" w:ascii="仿宋_GB2312" w:eastAsia="仿宋_GB2312" w:cs="DengXian-Regular"/>
          <w:sz w:val="32"/>
          <w:szCs w:val="32"/>
        </w:rPr>
        <w:t>0.83万元</w:t>
      </w:r>
      <w:bookmarkEnd w:id="0"/>
      <w:r>
        <w:rPr>
          <w:rFonts w:hint="eastAsia" w:ascii="仿宋_GB2312" w:eastAsia="仿宋_GB2312" w:cs="DengXian-Regular"/>
          <w:sz w:val="32"/>
          <w:szCs w:val="32"/>
        </w:rPr>
        <w:t>、差旅费0.56万元、会议费0.14万元、培训费0.56万元、委托业务费0.3万元、工会经费0.42万元、福利费0.27万元、其他交通费用1.88万元、办公设备购置0.54万元。</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本部门2019年度“三公”经费支出共计0万元，完成预算的0%,较预算减少0.09万元，降低100%，主要是</w:t>
      </w:r>
      <w:r>
        <w:rPr>
          <w:rFonts w:hint="eastAsia" w:ascii="仿宋_GB2312" w:eastAsia="仿宋_GB2312" w:cs="DengXian-Regular"/>
          <w:sz w:val="32"/>
          <w:szCs w:val="32"/>
        </w:rPr>
        <w:t>认真贯彻落实中央</w:t>
      </w:r>
      <w:bookmarkStart w:id="1" w:name="_GoBack"/>
      <w:bookmarkEnd w:id="1"/>
      <w:r>
        <w:rPr>
          <w:rFonts w:hint="eastAsia" w:ascii="仿宋_GB2312" w:eastAsia="仿宋_GB2312" w:cs="DengXian-Regular"/>
          <w:sz w:val="32"/>
          <w:szCs w:val="32"/>
        </w:rPr>
        <w:t>八项规定精神和厉行节约要求，从严控制“三公”经费开支</w:t>
      </w:r>
      <w:r>
        <w:rPr>
          <w:rFonts w:hint="eastAsia" w:ascii="仿宋_GB2312" w:hAnsi="Times New Roman" w:eastAsia="仿宋_GB2312" w:cs="DengXian-Regular"/>
          <w:sz w:val="32"/>
          <w:szCs w:val="32"/>
        </w:rPr>
        <w:t>；较2018年度减少0.04万元，降低100%，主要是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本部门2019年度因公出国（境）团组0个、共0人参加其他单位组织的因公出国（境）团组0个、共0人无本单位组织的出国（境）团组。因公出国（境）费支出与预算持平，与上年持平。主要是</w:t>
      </w:r>
      <w:r>
        <w:rPr>
          <w:rFonts w:hint="eastAsia" w:ascii="仿宋_GB2312" w:eastAsia="仿宋_GB2312" w:cs="DengXian-Regular"/>
          <w:sz w:val="32"/>
          <w:szCs w:val="32"/>
        </w:rPr>
        <w:t>认真贯彻落实中央八项规定精神和厉行节约要求，从严控制因公出国（境）费开支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（二）公务用车购置及运行维护费支出0万元。</w:t>
      </w:r>
      <w:r>
        <w:rPr>
          <w:rFonts w:hint="eastAsia" w:ascii="仿宋_GB2312" w:hAnsi="Times New Roman" w:eastAsia="仿宋_GB2312" w:cs="DengXian-Regular"/>
          <w:sz w:val="32"/>
          <w:szCs w:val="32"/>
        </w:rPr>
        <w:t>本部门2019年度公务用车购置及运行维护费与预算持平；与上年持平。主要是本部门没用公车，公务用车运行维护费为0，并</w:t>
      </w:r>
      <w:r>
        <w:rPr>
          <w:rFonts w:hint="eastAsia" w:ascii="仿宋_GB2312" w:eastAsia="仿宋_GB2312" w:cs="DengXian-Regular"/>
          <w:sz w:val="32"/>
          <w:szCs w:val="32"/>
        </w:rPr>
        <w:t>认真贯彻落实中央八项规定精神和厉行节约要求，从严控制公务用车购置及运行维护费开支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本部门2019年度公务用车购置量0辆，发生“公务用车购置”经费支出0万元。公务用车购置费支出与预算持平；与上年持平。主要是</w:t>
      </w:r>
      <w:r>
        <w:rPr>
          <w:rFonts w:hint="eastAsia" w:ascii="仿宋_GB2312" w:eastAsia="仿宋_GB2312" w:cs="DengXian-Regular"/>
          <w:sz w:val="32"/>
          <w:szCs w:val="32"/>
        </w:rPr>
        <w:t>认真贯彻落实中央八项规定精神和厉行节约要求。</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本部门2019年度单位公务用车保有量0辆。公车运行维护费支出与预算持平；与上年持平。主要是本部门没用公车，未发生公务用车运行维护费。</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本部门2019年度公务接待共0批次、0人次。公务接待费支出较预算减少0.09万元，降低100%，主要是</w:t>
      </w:r>
      <w:r>
        <w:rPr>
          <w:rFonts w:hint="eastAsia" w:ascii="仿宋_GB2312" w:eastAsia="仿宋_GB2312" w:cs="DengXian-Regular"/>
          <w:sz w:val="32"/>
          <w:szCs w:val="32"/>
        </w:rPr>
        <w:t>认真贯彻落实中央八项规定精神和厉行节约要求，从严控制公务接待费开支。</w:t>
      </w:r>
      <w:r>
        <w:rPr>
          <w:rFonts w:hint="eastAsia" w:ascii="仿宋_GB2312" w:hAnsi="Times New Roman" w:eastAsia="仿宋_GB2312" w:cs="DengXian-Regular"/>
          <w:sz w:val="32"/>
          <w:szCs w:val="32"/>
        </w:rPr>
        <w:t>较上年度减少0.04万元，降低100%,主要是</w:t>
      </w:r>
      <w:r>
        <w:rPr>
          <w:rFonts w:hint="eastAsia" w:ascii="仿宋_GB2312" w:eastAsia="仿宋_GB2312" w:cs="DengXian-Regular"/>
          <w:sz w:val="32"/>
          <w:szCs w:val="32"/>
        </w:rPr>
        <w:t>认真贯彻落实中央八项规定精神和厉行节约要求，从严控制公务接待费开支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2个，二级项目0个，共涉及资金95.9万元，占一般公共预算项目支出总额的100%。本部门2019年无政府性基金预算项目支出。本部门组织对“代理记账服务费专项”、“审计业务专项”等2个项目开展了部门评价，两个项目涉及一般公共预算支出95.9万元，政府性基金预算支出0万元。对“代理记账服务费专项”、“审计业务专项”项目均采用自评方式。按照区财政局安排部署，本部门在7月初安排部署预算绩效评价工作，通过绩效评价，本部门逐步树立了绩效理念，从评价情况来看，本部门2019年共两个专项项目，项目绩效自评率达到100%，但由于我部门缺乏专业绩效评价人员，</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绩效评价水平仍有待于进一步提高。</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本部门在今年部门决算公开中反映“代理记账服务费专项”项目及“审计业务专项”项目等2个项目绩效自评结果。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记账服务费专项项目自评综述：根据年初设定的绩效目标，代理记账服务费专项项目绩效自评结果为优。该项目全年预算数为4.43万元，执行数为4.43万元，完成预算的100%。项目绩效目标完成情况：一是及时出具了账表；二是基本按要求整理交接会计档案。发现的主要问题及原因：由于代理记账机构能力及水平问题，会计核算质量及会计基础工作有待于提高。下一步改进措施：一是提高对代理记账机构会计质量要求，及时规范处理会计账务。</w:t>
      </w:r>
    </w:p>
    <w:p>
      <w:pPr>
        <w:adjustRightInd w:val="0"/>
        <w:snapToGrid w:val="0"/>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审计业务专项项目绩效自评综述：根据年初设定的绩效目标，审计业务专项项目绩效自评结果为优。调整预算数为91.47万元，执行数为91.47万元，完成预算的100%。项目绩效目标完成情况：一是按要求完成年初制定绩效指标；二是按协议约定支付委托业务费用。发现的主要问题及原因：由于从财政库选取中介机构，部分中介专业水平不高。下一步改进措施：一是加强项目库管理，发挥项目库的基础支撑作用，做细做实项目库；二是通过财政库抽取及平时业绩评价等多种形式择优选取中介机构。</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adjustRightInd w:val="0"/>
        <w:snapToGrid w:val="0"/>
        <w:spacing w:line="580" w:lineRule="exact"/>
        <w:ind w:left="420" w:leftChars="200" w:firstLine="320" w:firstLineChars="1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本部门本年度目前无财政评价。</w:t>
      </w:r>
    </w:p>
    <w:p>
      <w:pPr>
        <w:adjustRightInd w:val="0"/>
        <w:snapToGrid w:val="0"/>
        <w:spacing w:line="580" w:lineRule="exact"/>
        <w:ind w:left="420" w:leftChars="200" w:firstLine="320" w:firstLineChars="100"/>
        <w:rPr>
          <w:rFonts w:ascii="仿宋_GB2312" w:hAnsi="仿宋_GB2312" w:eastAsia="仿宋_GB2312" w:cs="仿宋_GB2312"/>
          <w:b/>
          <w:bCs/>
          <w:sz w:val="32"/>
          <w:szCs w:val="32"/>
        </w:rPr>
      </w:pPr>
      <w:r>
        <w:rPr>
          <w:rFonts w:hint="eastAsia" w:ascii="黑体" w:hAnsi="Calibri" w:eastAsia="黑体" w:cs="Times New Roman"/>
          <w:sz w:val="32"/>
          <w:szCs w:val="32"/>
        </w:rPr>
        <w:t>七、其他重要事项的说明</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楷体_GB2312" w:hAnsi="Times New Roman" w:eastAsia="楷体_GB2312" w:cs="DengXian-Bold"/>
          <w:b/>
          <w:bCs/>
          <w:sz w:val="32"/>
          <w:szCs w:val="32"/>
        </w:rPr>
        <w:t>（一）机关运行经费情况</w:t>
      </w:r>
    </w:p>
    <w:p>
      <w:pPr>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9.97万元，比2018年减少了0.03万元,下降了0.3%。主要原因是：认真贯彻落实中央、省、市、区关于厉行节约的各项要求，从严控制各项开支，故机关运行经费较年初预算数据有所减少。具体情况如下：办公费4.45万元、手续费0.02万元、邮电费0.83万元、差旅费0.56万元、会议费0.14万元、培训费0.56万元、委托业务费0.3万元、工会经费0.42万元、福利费0.27万元、其他交通费用1.88万元、办公设备购置0.54万元。</w:t>
      </w:r>
    </w:p>
    <w:p>
      <w:pPr>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0辆，与上年持平。其中，副部（省）级及以上领导用车0辆，主要领导干部用车0辆，机要通信用车0辆，应急保障用车0辆，执法执勤用车0辆，特种专业技术用车0辆，离退休干部用车0辆，其他用车0辆；</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万元以上通用设备0台（套），与上年持平，单位价值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万元以上专用设备0台（套），与上年持平。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1.本部门2019年度政府性基金、国有资本经营无收支及结转结余情况，故政府性基金预算财政拨款收入支出决算批复表、国有资本经营预算财政拨款支出决算表以空表列示。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6643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1" focussize="0,0" r:id="rId22"/>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30" w:firstLineChars="196"/>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35.85pt;height:263.1pt;width:613.65pt;z-index:-251657216;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color2="#FFFFFF" o:title="image1" focussize="0,0" r:id="rId22"/>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40"/>
        <w:gridCol w:w="69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7"/>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7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jc w:val="center"/>
        </w:trPr>
        <w:tc>
          <w:tcPr>
            <w:tcW w:w="327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部门：承德高新技术产业开发区财政审计监督室</w:t>
            </w: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138.55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167.61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138.55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167.61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34.31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172.86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172.86　</w:t>
            </w:r>
          </w:p>
        </w:tc>
      </w:tr>
      <w:tr>
        <w:tblPrEx>
          <w:tblCellMar>
            <w:top w:w="0" w:type="dxa"/>
            <w:left w:w="0" w:type="dxa"/>
            <w:bottom w:w="0" w:type="dxa"/>
            <w:right w:w="0" w:type="dxa"/>
          </w:tblCellMar>
        </w:tblPrEx>
        <w:trPr>
          <w:trHeight w:val="213" w:hRule="atLeast"/>
          <w:jc w:val="center"/>
        </w:trPr>
        <w:tc>
          <w:tcPr>
            <w:tcW w:w="95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580" w:type="dxa"/>
        <w:jc w:val="center"/>
        <w:tblLayout w:type="autofit"/>
        <w:tblCellMar>
          <w:top w:w="0" w:type="dxa"/>
          <w:left w:w="0" w:type="dxa"/>
          <w:bottom w:w="0" w:type="dxa"/>
          <w:right w:w="0" w:type="dxa"/>
        </w:tblCellMar>
      </w:tblPr>
      <w:tblGrid>
        <w:gridCol w:w="851"/>
        <w:gridCol w:w="49"/>
        <w:gridCol w:w="49"/>
        <w:gridCol w:w="2418"/>
        <w:gridCol w:w="1145"/>
        <w:gridCol w:w="844"/>
        <w:gridCol w:w="844"/>
        <w:gridCol w:w="844"/>
        <w:gridCol w:w="844"/>
        <w:gridCol w:w="844"/>
        <w:gridCol w:w="848"/>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承德高新技术产业开发区财政审计监督室</w:t>
            </w: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rPr>
              <w:t>138.55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138.55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审计事务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138.55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69.94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审计业务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68.61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42"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承德高新技术产业开发区财政审计监督室</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167.61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71.70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95.91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审计事务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167.61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71.70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95.91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ascii="宋体" w:hAnsi="宋体" w:eastAsia="宋体" w:cs="宋体"/>
                <w:color w:val="000000"/>
                <w:sz w:val="22"/>
              </w:rPr>
              <w:t>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76.13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71.70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4.43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ascii="宋体" w:hAnsi="宋体" w:eastAsia="宋体" w:cs="宋体"/>
                <w:color w:val="000000"/>
                <w:sz w:val="22"/>
              </w:rPr>
              <w:t>审计业务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91.48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91.48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9520" w:type="dxa"/>
        <w:jc w:val="center"/>
        <w:tblLayout w:type="fixed"/>
        <w:tblCellMar>
          <w:top w:w="0" w:type="dxa"/>
          <w:left w:w="0" w:type="dxa"/>
          <w:bottom w:w="0" w:type="dxa"/>
          <w:right w:w="0" w:type="dxa"/>
        </w:tblCellMar>
      </w:tblPr>
      <w:tblGrid>
        <w:gridCol w:w="2922"/>
        <w:gridCol w:w="425"/>
        <w:gridCol w:w="705"/>
        <w:gridCol w:w="2903"/>
        <w:gridCol w:w="507"/>
        <w:gridCol w:w="414"/>
        <w:gridCol w:w="855"/>
        <w:gridCol w:w="789"/>
      </w:tblGrid>
      <w:tr>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6955"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部门：承德高新技术产业开发区财政审计监督室</w:t>
            </w: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rPr>
          <w:trHeight w:val="90" w:hRule="atLeast"/>
          <w:jc w:val="center"/>
        </w:trPr>
        <w:tc>
          <w:tcPr>
            <w:tcW w:w="405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468"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41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138.55</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167.61</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34.31</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5.25</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172.86</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172.86</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tbl>
      <w:tblPr>
        <w:tblStyle w:val="7"/>
        <w:tblW w:w="9990" w:type="dxa"/>
        <w:jc w:val="center"/>
        <w:tblLayout w:type="autofit"/>
        <w:tblCellMar>
          <w:top w:w="0" w:type="dxa"/>
          <w:left w:w="0" w:type="dxa"/>
          <w:bottom w:w="0" w:type="dxa"/>
          <w:right w:w="0" w:type="dxa"/>
        </w:tblCellMar>
      </w:tblPr>
      <w:tblGrid>
        <w:gridCol w:w="910"/>
        <w:gridCol w:w="52"/>
        <w:gridCol w:w="52"/>
        <w:gridCol w:w="2584"/>
        <w:gridCol w:w="2185"/>
        <w:gridCol w:w="2104"/>
        <w:gridCol w:w="2103"/>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承德高新技术产业开发区财政审计监督室</w:t>
            </w: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rPr>
              <w:t>167.61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rPr>
              <w:t>71.70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rPr>
              <w:t>95.91</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167.61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71.70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95.91</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审计事务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167.61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71.70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4.43</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76.13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71.70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91.48</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审计业务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91.48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969" w:type="dxa"/>
            <w:gridSpan w:val="4"/>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承德高新技术产业开发区财政审计监督室</w:t>
            </w: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61.74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9.43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26.41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4.45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2.91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4.95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0.02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5.17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0.54</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9.29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2.89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0.83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3.95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0.28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0.56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5.81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0.08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0.14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0.56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0.42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0.27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1.88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61.74</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9.97</w:t>
            </w:r>
          </w:p>
        </w:tc>
      </w:tr>
    </w:tbl>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0" w:type="auto"/>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部门：承德高新技术产业开发区财政审计监督室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0.09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0.09</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1033"/>
        <w:gridCol w:w="59"/>
        <w:gridCol w:w="59"/>
        <w:gridCol w:w="1492"/>
        <w:gridCol w:w="1144"/>
        <w:gridCol w:w="1144"/>
        <w:gridCol w:w="1144"/>
        <w:gridCol w:w="1144"/>
        <w:gridCol w:w="1144"/>
        <w:gridCol w:w="114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承德高新技术产业开发区财政审计监督室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楷体" w:hAnsi="楷体" w:eastAsia="楷体" w:cs="楷体"/>
          <w:sz w:val="32"/>
          <w:szCs w:val="32"/>
        </w:rPr>
        <w:t>注：本部门本年度无相关收入（或支出、收支及结转结余等）情况，按要求空表列示。</w:t>
      </w:r>
      <w:r>
        <w:br w:type="page"/>
      </w:r>
      <w:r>
        <w:t xml:space="preserve"> </w:t>
      </w:r>
    </w:p>
    <w:tbl>
      <w:tblPr>
        <w:tblStyle w:val="7"/>
        <w:tblW w:w="9917" w:type="dxa"/>
        <w:jc w:val="center"/>
        <w:tblLayout w:type="autofit"/>
        <w:tblCellMar>
          <w:top w:w="0" w:type="dxa"/>
          <w:left w:w="0" w:type="dxa"/>
          <w:bottom w:w="0" w:type="dxa"/>
          <w:right w:w="0" w:type="dxa"/>
        </w:tblCellMar>
      </w:tblPr>
      <w:tblGrid>
        <w:gridCol w:w="932"/>
        <w:gridCol w:w="53"/>
        <w:gridCol w:w="53"/>
        <w:gridCol w:w="5492"/>
        <w:gridCol w:w="695"/>
        <w:gridCol w:w="1346"/>
        <w:gridCol w:w="1346"/>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承德高新技术产业开发区财政审计监督室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楷体" w:hAnsi="楷体" w:eastAsia="楷体" w:cs="楷体"/>
          <w:sz w:val="32"/>
          <w:szCs w:val="32"/>
        </w:rPr>
        <w:t>注：本部门本年度无相关收入（或支出、收支及结转结余等）情况，按要求空表列示。</w:t>
      </w:r>
      <w:r>
        <w:br w:type="page"/>
      </w:r>
    </w:p>
    <w:p>
      <w:r>
        <w:pict>
          <v:rect id="_x0000_s1027" o:spid="_x0000_s1027" o:spt="1" style="position:absolute;left:0pt;margin-left:-70.5pt;margin-top:-85.25pt;height:841.15pt;width:595.1pt;z-index:25166745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19" w:type="first"/>
      <w:headerReference r:id="rId18" w:type="default"/>
      <w:footerReference r:id="rId20"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Yu Gothic"/>
    <w:panose1 w:val="00000000000000000000"/>
    <w:charset w:val="80"/>
    <w:family w:val="swiss"/>
    <w:pitch w:val="default"/>
    <w:sig w:usb0="00000000" w:usb1="00000000" w:usb2="00000016" w:usb3="00000000" w:csb0="2002009F" w:csb1="00000000"/>
  </w:font>
  <w:font w:name="Yu Gothic">
    <w:panose1 w:val="020B0400000000000000"/>
    <w:charset w:val="80"/>
    <w:family w:val="auto"/>
    <w:pitch w:val="default"/>
    <w:sig w:usb0="E00002FF" w:usb1="2AC7FDFF" w:usb2="00000016" w:usb3="00000000" w:csb0="2002009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629646"/>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6 -</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4" o:spid="_x0000_s2064" o:spt="202" type="#_x0000_t202" style="position:absolute;left:0pt;margin-left:209.15pt;margin-top:-6pt;height:18.7pt;width:144pt;mso-position-horizontal-relative:margin;mso-wrap-style:none;z-index:25168384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- 20 -</w:t>
                </w:r>
                <w:r>
                  <w:rPr>
                    <w:rFonts w:ascii="Times New Roman" w:hAns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72" o:spid="_x0000_s2072" o:spt="202" type="#_x0000_t202" style="position:absolute;left:0pt;margin-left:205.45pt;margin-top:-18.75pt;height:31.45pt;width:30.15pt;mso-position-horizontal-relative:margin;z-index:251684864;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209.15pt;margin-top:-6pt;height:18.7pt;width:144pt;mso-position-horizontal-relative:margin;mso-wrap-style:none;z-index:25168793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- 30 -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76" o:spid="_x0000_s2113" o:spt="203" style="position:absolute;left:0pt;margin-top:29.75pt;height:32pt;width:157.5pt;mso-position-horizontal:left;mso-position-horizontal-relative:page;mso-position-vertical-relative:page;z-index:251692032;mso-width-relative:page;mso-height-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">
          <o:lock v:ext="edit"/>
          <v:shape id="文本框 6" o:spid="_x0000_s2114" o:spt="202" type="#_x0000_t202" style="position:absolute;left:1401;top:880;height:641;width:30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v:path/>
            <v:fill on="f" focussize="0,0"/>
            <v:stroke on="f" weight="0.5pt" joinstyle="miter"/>
            <v:imagedata o:title=""/>
            <o:lock v:ext="edit"/>
            <v:textbox>
              <w:txbxContent/>
            </v:textbox>
          </v:shape>
          <v:rect id="矩形 7" o:spid="_x0000_s2115" o:spt="1" style="position:absolute;left:1337;top:1044;height:330;width:119;v-text-anchor:middle;" fillcolor="#000000"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DBMMA&#10;AADbAAAADwAAAGRycy9kb3ducmV2LnhtbERPzWrCQBC+F/oOyxS8FLNpqKmk2YixCsWLVvsAQ3aa&#10;hGRnQ3ar6du7B6HHj+8/X02mFxcaXWtZwUsUgyCurG65VvB93s2XIJxH1thbJgV/5GBVPD7kmGl7&#10;5S+6nHwtQgi7DBU03g+ZlK5qyKCL7EAcuB87GvQBjrXUI15DuOllEsepNNhyaGhwoE1DVXf6NQrO&#10;h2O63bULTobuY/1aLcrn7b5UavY0rd9BeJr8v/ju/tQK3sLY8CX8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GDBMMAAADbAAAADwAAAAAAAAAAAAAAAACYAgAAZHJzL2Rv&#10;d25yZXYueG1sUEsFBgAAAAAEAAQA9QAAAIgDAAAAAA==&#10;">
            <v:path/>
            <v:fill on="t" focussize="0,0"/>
            <v:stroke on="f" weight="1pt"/>
            <v:imagedata o:title=""/>
            <o:lock v:ext="edit"/>
          </v:rect>
        </v:group>
      </w:pict>
    </w:r>
    <w:r>
      <w:pict>
        <v:group id="组合 79" o:spid="_x0000_s2109" o:spt="203" style="position:absolute;left:0pt;margin-left:0pt;margin-top:0pt;height:58.95pt;width:596.5pt;mso-position-horizontal-relative:page;mso-position-vertical-relative:page;z-index:251691008;mso-width-relative:page;mso-height-relative:page;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">
          <o:lock v:ext="edit"/>
          <v:rect id="矩形 2" o:spid="_x0000_s2110" o:spt="1" style="position:absolute;left:881;top:1538;height:146;width:11925;v-text-anchor:middle;" fillcolor="#FFD96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adA8EA&#10;AADbAAAADwAAAGRycy9kb3ducmV2LnhtbERP3WrCMBS+F/YO4Qx2p+kclNIZRTcGbkLFzgc4NKdN&#10;sTkpTdZ2b79cDLz8+P43u9l2YqTBt44VPK8SEMSV0y03Cq7fH8sMhA/IGjvHpOCXPOy2D4sN5tpN&#10;fKGxDI2IIexzVGBC6HMpfWXIol+5njhytRsshgiHRuoBpxhuO7lOklRabDk2GOzpzVB1K3+sgmO1&#10;P70068/iUGfn9PZesKm/WKmnx3n/CiLQHO7if/dRK8ji+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nQPBAAAA2wAAAA8AAAAAAAAAAAAAAAAAmAIAAGRycy9kb3du&#10;cmV2LnhtbFBLBQYAAAAABAAEAPUAAACGAwAAAAA=&#10;">
            <v:path/>
            <v:fill on="t" focussize="0,0"/>
            <v:stroke on="f" weight="1pt"/>
            <v:imagedata o:title=""/>
            <o:lock v:ext="edit"/>
          </v:rect>
          <v:shape id="任意多边形 3" o:spid="_x0000_s2111" style="position:absolute;left:10177;top:686;height:862;width:2619;v-text-anchor:middle;" fillcolor="#000000" filled="t" stroked="f"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VbMEA&#10;AADbAAAADwAAAGRycy9kb3ducmV2LnhtbESPQWsCMRSE70L/Q3hCb5rVgy5boxSh4M12FXp9bF6T&#10;ZTcvSxLd7b9vCoLHYWa+YXaHyfXiTiG2nhWslgUI4sbrlo2C6+VjUYKICVlj75kU/FKEw/5ltsNK&#10;+5G/6F4nIzKEY4UKbEpDJWVsLDmMSz8QZ+/HB4cpy2CkDjhmuOvluig20mHLecHiQEdLTVffnALc&#10;fo/1NpjPc1caa/Vp06w7VOp1Pr2/gUg0pWf40T5pBeUK/r/kH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FWzBAAAA2wAAAA8AAAAAAAAAAAAAAAAAmAIAAGRycy9kb3du&#10;cmV2LnhtbFBLBQYAAAAABAAEAPUAAACGAwAAAAA=&#10;" path="m595,1l2619,0,2619,862,0,862,595,1xe">
            <v:path arrowok="t" o:connecttype="custom" o:connectlocs="595,1;2619,0;2619,862;0,862;595,1" o:connectangles="0,0,0,0,0"/>
            <v:fill on="t" focussize="0,0"/>
            <v:stroke on="f" weight="1pt" joinstyle="miter"/>
            <v:imagedata o:title=""/>
            <o:lock v:ext="edit"/>
          </v:shape>
          <v:shape id="任意多边形 4" o:spid="_x0000_s2112" style="position:absolute;left:10467;top:505;height:1108;width:2345;v-text-anchor:middle;" fillcolor="#FFD966" filled="t" stroked="f"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A+sUA&#10;AADbAAAADwAAAGRycy9kb3ducmV2LnhtbESPMWvDMBSE90L+g3iFLCWR4yGkbmRTYgpZOtjN0PHF&#10;erVNrCcjqbGTX18VCh2Pu/uO2xezGcSVnO8tK9isExDEjdU9twpOH2+rHQgfkDUOlknBjTwU+eJh&#10;j5m2E1d0rUMrIoR9hgq6EMZMSt90ZNCv7UgcvS/rDIYoXSu1wynCzSDTJNlKgz3HhQ5HOnTUXOpv&#10;o2AaT9XTs0net3w/X8rS2XpTfiq1fJxfX0AEmsN/+K991Ap2K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wD6xQAAANsAAAAPAAAAAAAAAAAAAAAAAJgCAABkcnMv&#10;ZG93bnJldi54bWxQSwUGAAAAAAQABAD1AAAAigMAAAAA&#10;" path="m668,0l2619,10,2619,1265,0,1265,668,0xe">
            <v:path arrowok="t" o:connecttype="custom" o:connectlocs="598,0;2345,9;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53" o:spid="_x0000_s2053" o:spt="203" style="position:absolute;left:0pt;margin-left:2.5pt;margin-top:28.75pt;height:35.25pt;width:594.8pt;mso-position-horizontal-relative:page;mso-position-vertical-relative:page;z-index:251688960;mso-width-relative:page;mso-height-relative:page;" coordorigin="8,5" coordsize="119,11792"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top:15;height:1;width:120;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top:6;height:9;width:26;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top:5;height:11;width:24;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89984;mso-width-relative:page;mso-height-relative:page;" coordorigin="13,8" coordsize="31,6402"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top:8;height:7;width:30;"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top:10;height:3;width:1;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0" o:spid="_x0000_s2060" o:spt="203" style="position:absolute;left:0pt;margin-left:0pt;margin-top:0pt;height:38.05pt;width:596.5pt;mso-position-horizontal-relative:page;mso-position-vertical-relative:page;z-index:251685888;mso-width-relative:page;mso-height-relative:page;mso-width-percent:1000;" coordorigin="8,5" coordsize="119,11792"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top:15;height:1;width:120;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top:6;height:9;width:26;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top:5;height:11;width:24;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86912;mso-width-relative:page;mso-height-relative:page;" coordorigin="13,8" coordsize="31,6402"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top:8;height:7;width:3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top:10;height:3;width:1;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3" o:spid="_x0000_s2083" o:spt="203" style="position:absolute;left:0pt;margin-left:2.75pt;margin-top:46.95pt;height:32.8pt;width:596.85pt;mso-position-horizontal-relative:page;mso-position-vertical-relative:page;z-index:251677696;mso-width-relative:page;mso-height-relative:page;" coordorigin="8,5" coordsize="119,11792"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top:15;height:1;width:120;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top:6;height:9;width:26;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top:5;height:11;width:24;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678720;mso-width-relative:page;mso-height-relative:page;" coordorigin="13,8" coordsize="31,6402"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top:8;height:7;width:30;"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style="mso-next-textbox:#文本框 6;">
              <w:txbxContent>
                <w:p>
                  <w:pPr>
                    <w:rPr>
                      <w:rFonts w:ascii="微软雅黑" w:hAnsi="微软雅黑" w:eastAsia="微软雅黑" w:cs="微软雅黑"/>
                      <w:b/>
                      <w:bCs/>
                      <w:sz w:val="28"/>
                      <w:szCs w:val="36"/>
                    </w:rPr>
                  </w:pPr>
                  <w:r>
                    <w:rPr>
                      <w:rFonts w:hint="eastAsia" w:ascii="微软雅黑" w:hAnsi="微软雅黑" w:eastAsia="微软雅黑" w:cs="微软雅黑"/>
                      <w:b/>
                      <w:bCs/>
                      <w:sz w:val="32"/>
                      <w:szCs w:val="40"/>
                    </w:rPr>
                    <w:t>第二部分  部门决算情况说明</w:t>
                  </w:r>
                  <w:r>
                    <w:rPr>
                      <w:rFonts w:hint="eastAsia" w:ascii="微软雅黑" w:hAnsi="微软雅黑" w:eastAsia="微软雅黑" w:cs="微软雅黑"/>
                      <w:b/>
                      <w:bCs/>
                      <w:sz w:val="28"/>
                      <w:szCs w:val="36"/>
                    </w:rPr>
                    <w:t>20XX 企业业务制定20XX 企业业务制定</w:t>
                  </w:r>
                </w:p>
              </w:txbxContent>
            </v:textbox>
          </v:shape>
          <v:rect id="矩形 7" o:spid="_x0000_s2081" o:spt="1" style="position:absolute;left:13;top:10;height:3;width:1;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8" o:spid="_x0000_s2068" o:spt="203" style="position:absolute;left:0pt;margin-left:0pt;margin-top:0pt;height:37.85pt;width:594.8pt;mso-position-horizontal-relative:page;mso-position-vertical-relative:page;z-index:251679744;mso-width-relative:page;mso-height-relative:page;" coordorigin="8,5" coordsize="119,11792"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top:15;height:1;width:120;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top:6;height:9;width:26;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top:5;height:11;width:24;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680768;mso-width-relative:page;mso-height-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top:8;height:7;width:30;"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top:10;height:3;width:1;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77" o:spid="_x0000_s2077" o:spt="203" style="position:absolute;left:0pt;margin-top:29.75pt;height:32pt;width:157.5pt;mso-position-horizontal:left;mso-position-horizontal-relative:page;mso-position-vertical-relative:page;z-index:251682816;mso-width-relative:page;mso-height-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top:8;height:7;width:30;"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top:10;height:3;width:1;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681792;mso-width-relative:page;mso-height-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top:15;height:1;width:120;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top:6;height:9;width:26;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top:5;height:11;width:24;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01261"/>
    <w:rsid w:val="00012830"/>
    <w:rsid w:val="00037DD0"/>
    <w:rsid w:val="000462D9"/>
    <w:rsid w:val="0007028B"/>
    <w:rsid w:val="0007063E"/>
    <w:rsid w:val="00073392"/>
    <w:rsid w:val="00073F4E"/>
    <w:rsid w:val="0007500A"/>
    <w:rsid w:val="00086C89"/>
    <w:rsid w:val="000A04C5"/>
    <w:rsid w:val="000A39FB"/>
    <w:rsid w:val="000D647C"/>
    <w:rsid w:val="000E1660"/>
    <w:rsid w:val="0010043B"/>
    <w:rsid w:val="00111BF6"/>
    <w:rsid w:val="00114EF3"/>
    <w:rsid w:val="00117746"/>
    <w:rsid w:val="00150A91"/>
    <w:rsid w:val="00154073"/>
    <w:rsid w:val="00163F95"/>
    <w:rsid w:val="001660E3"/>
    <w:rsid w:val="001749E8"/>
    <w:rsid w:val="00180A9A"/>
    <w:rsid w:val="001829C0"/>
    <w:rsid w:val="00184809"/>
    <w:rsid w:val="00192112"/>
    <w:rsid w:val="0019589A"/>
    <w:rsid w:val="00197A08"/>
    <w:rsid w:val="001B0127"/>
    <w:rsid w:val="001B348D"/>
    <w:rsid w:val="001B72E6"/>
    <w:rsid w:val="001C12D5"/>
    <w:rsid w:val="001C69F7"/>
    <w:rsid w:val="001D1E2F"/>
    <w:rsid w:val="001D3547"/>
    <w:rsid w:val="001D372C"/>
    <w:rsid w:val="001F41AB"/>
    <w:rsid w:val="00212A4C"/>
    <w:rsid w:val="00217156"/>
    <w:rsid w:val="00231940"/>
    <w:rsid w:val="00236024"/>
    <w:rsid w:val="00241B8B"/>
    <w:rsid w:val="00244B62"/>
    <w:rsid w:val="002628B5"/>
    <w:rsid w:val="002650EC"/>
    <w:rsid w:val="00296732"/>
    <w:rsid w:val="002A6C46"/>
    <w:rsid w:val="002C19B5"/>
    <w:rsid w:val="002F223C"/>
    <w:rsid w:val="00300404"/>
    <w:rsid w:val="0030730E"/>
    <w:rsid w:val="00321B4E"/>
    <w:rsid w:val="003241CC"/>
    <w:rsid w:val="00324E41"/>
    <w:rsid w:val="00344534"/>
    <w:rsid w:val="00351030"/>
    <w:rsid w:val="00381765"/>
    <w:rsid w:val="00382762"/>
    <w:rsid w:val="003876CC"/>
    <w:rsid w:val="00394E42"/>
    <w:rsid w:val="003A4EE8"/>
    <w:rsid w:val="003B5263"/>
    <w:rsid w:val="003C488B"/>
    <w:rsid w:val="003D66CA"/>
    <w:rsid w:val="003E5AEC"/>
    <w:rsid w:val="003F0AE7"/>
    <w:rsid w:val="0040280A"/>
    <w:rsid w:val="00442CC2"/>
    <w:rsid w:val="00446244"/>
    <w:rsid w:val="00447962"/>
    <w:rsid w:val="00455E67"/>
    <w:rsid w:val="004712BC"/>
    <w:rsid w:val="00473C20"/>
    <w:rsid w:val="00494D93"/>
    <w:rsid w:val="00495665"/>
    <w:rsid w:val="004B3756"/>
    <w:rsid w:val="004D3E3F"/>
    <w:rsid w:val="004D61CB"/>
    <w:rsid w:val="005011D6"/>
    <w:rsid w:val="00503F2E"/>
    <w:rsid w:val="00512C69"/>
    <w:rsid w:val="00514CB0"/>
    <w:rsid w:val="00515B54"/>
    <w:rsid w:val="0051669B"/>
    <w:rsid w:val="00552226"/>
    <w:rsid w:val="0056174E"/>
    <w:rsid w:val="00566120"/>
    <w:rsid w:val="00576282"/>
    <w:rsid w:val="00581EF8"/>
    <w:rsid w:val="00582E6D"/>
    <w:rsid w:val="00587721"/>
    <w:rsid w:val="005954D5"/>
    <w:rsid w:val="005A51CF"/>
    <w:rsid w:val="005A53FA"/>
    <w:rsid w:val="005A5C81"/>
    <w:rsid w:val="005D1293"/>
    <w:rsid w:val="005E39F4"/>
    <w:rsid w:val="005E6276"/>
    <w:rsid w:val="005F23B8"/>
    <w:rsid w:val="00606E34"/>
    <w:rsid w:val="00636E9B"/>
    <w:rsid w:val="00644D5F"/>
    <w:rsid w:val="00651B60"/>
    <w:rsid w:val="006727AD"/>
    <w:rsid w:val="00675F32"/>
    <w:rsid w:val="006873ED"/>
    <w:rsid w:val="00691425"/>
    <w:rsid w:val="006A516E"/>
    <w:rsid w:val="006B0830"/>
    <w:rsid w:val="006D0905"/>
    <w:rsid w:val="006E2D9A"/>
    <w:rsid w:val="006E6A26"/>
    <w:rsid w:val="00700955"/>
    <w:rsid w:val="00703890"/>
    <w:rsid w:val="00704DDB"/>
    <w:rsid w:val="00716E2B"/>
    <w:rsid w:val="00746DDD"/>
    <w:rsid w:val="00770F18"/>
    <w:rsid w:val="00773B74"/>
    <w:rsid w:val="0077720E"/>
    <w:rsid w:val="0078290C"/>
    <w:rsid w:val="007955C5"/>
    <w:rsid w:val="00797578"/>
    <w:rsid w:val="007A2EEA"/>
    <w:rsid w:val="007C06CA"/>
    <w:rsid w:val="007C43D2"/>
    <w:rsid w:val="007D2640"/>
    <w:rsid w:val="00800EDC"/>
    <w:rsid w:val="00804095"/>
    <w:rsid w:val="00815DDB"/>
    <w:rsid w:val="008163FB"/>
    <w:rsid w:val="0082168A"/>
    <w:rsid w:val="0082605B"/>
    <w:rsid w:val="0084099B"/>
    <w:rsid w:val="00855C36"/>
    <w:rsid w:val="00857DBE"/>
    <w:rsid w:val="008701BC"/>
    <w:rsid w:val="00883D92"/>
    <w:rsid w:val="008A0E2A"/>
    <w:rsid w:val="008A5362"/>
    <w:rsid w:val="008B0716"/>
    <w:rsid w:val="008C6EB7"/>
    <w:rsid w:val="008E5888"/>
    <w:rsid w:val="008E6A10"/>
    <w:rsid w:val="008F21F1"/>
    <w:rsid w:val="008F221B"/>
    <w:rsid w:val="008F5A2D"/>
    <w:rsid w:val="00921579"/>
    <w:rsid w:val="00921602"/>
    <w:rsid w:val="009245F4"/>
    <w:rsid w:val="00934260"/>
    <w:rsid w:val="009473A0"/>
    <w:rsid w:val="00957EA1"/>
    <w:rsid w:val="009629BC"/>
    <w:rsid w:val="00966E5B"/>
    <w:rsid w:val="00970737"/>
    <w:rsid w:val="00970E3B"/>
    <w:rsid w:val="00976912"/>
    <w:rsid w:val="00982A79"/>
    <w:rsid w:val="00987CF8"/>
    <w:rsid w:val="009903F0"/>
    <w:rsid w:val="00994B35"/>
    <w:rsid w:val="009A1377"/>
    <w:rsid w:val="009A2042"/>
    <w:rsid w:val="009A2097"/>
    <w:rsid w:val="009B3CC9"/>
    <w:rsid w:val="009B4EF0"/>
    <w:rsid w:val="009D05EB"/>
    <w:rsid w:val="009D22C9"/>
    <w:rsid w:val="009D271F"/>
    <w:rsid w:val="009D50B6"/>
    <w:rsid w:val="00A029F2"/>
    <w:rsid w:val="00A052ED"/>
    <w:rsid w:val="00A0583D"/>
    <w:rsid w:val="00A13FB9"/>
    <w:rsid w:val="00A22119"/>
    <w:rsid w:val="00A45E92"/>
    <w:rsid w:val="00A55C04"/>
    <w:rsid w:val="00A64392"/>
    <w:rsid w:val="00A85151"/>
    <w:rsid w:val="00A929C2"/>
    <w:rsid w:val="00AC3204"/>
    <w:rsid w:val="00AD097F"/>
    <w:rsid w:val="00AF42A3"/>
    <w:rsid w:val="00AF5C4A"/>
    <w:rsid w:val="00B000C9"/>
    <w:rsid w:val="00B20957"/>
    <w:rsid w:val="00B30863"/>
    <w:rsid w:val="00B844F4"/>
    <w:rsid w:val="00B93081"/>
    <w:rsid w:val="00BA06A1"/>
    <w:rsid w:val="00BA770A"/>
    <w:rsid w:val="00BB5268"/>
    <w:rsid w:val="00BB596C"/>
    <w:rsid w:val="00BC0895"/>
    <w:rsid w:val="00BC3557"/>
    <w:rsid w:val="00BD1B06"/>
    <w:rsid w:val="00BD6524"/>
    <w:rsid w:val="00C054DE"/>
    <w:rsid w:val="00C1431C"/>
    <w:rsid w:val="00C171BE"/>
    <w:rsid w:val="00C17912"/>
    <w:rsid w:val="00C33532"/>
    <w:rsid w:val="00C5173F"/>
    <w:rsid w:val="00C52565"/>
    <w:rsid w:val="00C63281"/>
    <w:rsid w:val="00C679A9"/>
    <w:rsid w:val="00C735BC"/>
    <w:rsid w:val="00C7541C"/>
    <w:rsid w:val="00C9668B"/>
    <w:rsid w:val="00CB361B"/>
    <w:rsid w:val="00CC0EB2"/>
    <w:rsid w:val="00CC0FAA"/>
    <w:rsid w:val="00CC24F1"/>
    <w:rsid w:val="00CC61B8"/>
    <w:rsid w:val="00CC790F"/>
    <w:rsid w:val="00CD0736"/>
    <w:rsid w:val="00CF3640"/>
    <w:rsid w:val="00D1570F"/>
    <w:rsid w:val="00D261A6"/>
    <w:rsid w:val="00D27E9D"/>
    <w:rsid w:val="00D32830"/>
    <w:rsid w:val="00D74DA5"/>
    <w:rsid w:val="00DA392B"/>
    <w:rsid w:val="00DB7153"/>
    <w:rsid w:val="00DB7F05"/>
    <w:rsid w:val="00DC2CED"/>
    <w:rsid w:val="00DC4193"/>
    <w:rsid w:val="00DF6B74"/>
    <w:rsid w:val="00E028C3"/>
    <w:rsid w:val="00E03054"/>
    <w:rsid w:val="00E13C2E"/>
    <w:rsid w:val="00E14F77"/>
    <w:rsid w:val="00E17F46"/>
    <w:rsid w:val="00E3076B"/>
    <w:rsid w:val="00E36978"/>
    <w:rsid w:val="00E65189"/>
    <w:rsid w:val="00E654AD"/>
    <w:rsid w:val="00E674F9"/>
    <w:rsid w:val="00E809C6"/>
    <w:rsid w:val="00E82A1E"/>
    <w:rsid w:val="00EA62FF"/>
    <w:rsid w:val="00EC06F4"/>
    <w:rsid w:val="00EE4E36"/>
    <w:rsid w:val="00EE5EF8"/>
    <w:rsid w:val="00EF28C7"/>
    <w:rsid w:val="00EF2B63"/>
    <w:rsid w:val="00F01EF3"/>
    <w:rsid w:val="00F1558B"/>
    <w:rsid w:val="00F24C48"/>
    <w:rsid w:val="00F64EF4"/>
    <w:rsid w:val="00F665F4"/>
    <w:rsid w:val="00F73D17"/>
    <w:rsid w:val="00F772B1"/>
    <w:rsid w:val="00F81E02"/>
    <w:rsid w:val="00F82174"/>
    <w:rsid w:val="00F8253E"/>
    <w:rsid w:val="00F849F0"/>
    <w:rsid w:val="00F96ED2"/>
    <w:rsid w:val="00FA2B9F"/>
    <w:rsid w:val="00FA3FAB"/>
    <w:rsid w:val="00FC1CD1"/>
    <w:rsid w:val="00FD1843"/>
    <w:rsid w:val="00FD225F"/>
    <w:rsid w:val="00FF776A"/>
    <w:rsid w:val="21423256"/>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Char"/>
    <w:basedOn w:val="9"/>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chart" Target="charts/chart4.xml"/><Relationship Id="rId26" Type="http://schemas.openxmlformats.org/officeDocument/2006/relationships/chart" Target="charts/chart3.xml"/><Relationship Id="rId25" Type="http://schemas.openxmlformats.org/officeDocument/2006/relationships/chart" Target="charts/chart2.xml"/><Relationship Id="rId24" Type="http://schemas.openxmlformats.org/officeDocument/2006/relationships/chart" Target="charts/chart1.xml"/><Relationship Id="rId23" Type="http://schemas.openxmlformats.org/officeDocument/2006/relationships/image" Target="media/image2.png"/><Relationship Id="rId22" Type="http://schemas.openxmlformats.org/officeDocument/2006/relationships/image" Target="media/image1.GIF"/><Relationship Id="rId21" Type="http://schemas.openxmlformats.org/officeDocument/2006/relationships/theme" Target="theme/theme1.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图一：支出构成情况（按支出性质）</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3"/>
                <c:pt idx="0">
                  <c:v>基本支出</c:v>
                </c:pt>
                <c:pt idx="1">
                  <c:v>项目支出</c:v>
                </c:pt>
                <c:pt idx="2">
                  <c:v>经营支出</c:v>
                </c:pt>
              </c:strCache>
            </c:strRef>
          </c:cat>
          <c:val>
            <c:numRef>
              <c:f>Sheet1!$B$2:$B$5</c:f>
              <c:numCache>
                <c:formatCode>General</c:formatCode>
                <c:ptCount val="4"/>
                <c:pt idx="0">
                  <c:v>71.71</c:v>
                </c:pt>
                <c:pt idx="1">
                  <c:v>95.9</c:v>
                </c:pt>
                <c:pt idx="2">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3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图二</a:t>
            </a:r>
            <a:r>
              <a:rPr lang="en-US" altLang="zh-CN"/>
              <a:t>:</a:t>
            </a:r>
            <a:r>
              <a:rPr lang="zh-CN" altLang="en-US"/>
              <a:t>支出构成情况</a:t>
            </a:r>
            <a:r>
              <a:rPr lang="en-US" altLang="zh-CN"/>
              <a:t>(</a:t>
            </a:r>
            <a:r>
              <a:rPr lang="zh-CN" altLang="en-US"/>
              <a:t>按支出性质</a:t>
            </a:r>
            <a:r>
              <a:rPr lang="en-US" altLang="zh-CN"/>
              <a:t>)</a:t>
            </a:r>
            <a:endParaRPr lang="en-US" altLang="zh-CN"/>
          </a:p>
        </c:rich>
      </c:tx>
      <c:layout>
        <c:manualLayout>
          <c:xMode val="edge"/>
          <c:yMode val="edge"/>
          <c:x val="0.133136094674556"/>
          <c:y val="0.0242914979757085"/>
        </c:manualLayout>
      </c:layout>
      <c:overlay val="0"/>
      <c:spPr>
        <a:noFill/>
        <a:ln w="41240">
          <a:noFill/>
        </a:ln>
      </c:spPr>
    </c:title>
    <c:autoTitleDeleted val="0"/>
    <c:view3D>
      <c:rotX val="50"/>
      <c:rotY val="0"/>
      <c:depthPercent val="100"/>
      <c:rAngAx val="0"/>
      <c:perspective val="0"/>
    </c:view3D>
    <c:floor>
      <c:thickness val="0"/>
    </c:floor>
    <c:sideWall>
      <c:thickness val="0"/>
    </c:sideWall>
    <c:backWall>
      <c:thickness val="0"/>
    </c:backWall>
    <c:plotArea>
      <c:layout>
        <c:manualLayout>
          <c:layoutTarget val="inner"/>
          <c:xMode val="edge"/>
          <c:yMode val="edge"/>
          <c:x val="0.0976331360946746"/>
          <c:y val="0.178137651821862"/>
          <c:w val="0.464497041420118"/>
          <c:h val="0.54251012145749"/>
        </c:manualLayout>
      </c:layout>
      <c:pie3DChart>
        <c:varyColors val="1"/>
        <c:ser>
          <c:idx val="3"/>
          <c:order val="0"/>
          <c:tx>
            <c:strRef>
              <c:f>Sheet1!$A$2</c:f>
              <c:strCache>
                <c:ptCount val="1"/>
                <c:pt idx="0">
                  <c:v> </c:v>
                </c:pt>
              </c:strCache>
            </c:strRef>
          </c:tx>
          <c:spPr>
            <a:solidFill>
              <a:srgbClr val="CCFFFF"/>
            </a:solidFill>
            <a:ln w="20620">
              <a:solidFill>
                <a:srgbClr val="000000"/>
              </a:solidFill>
              <a:prstDash val="solid"/>
            </a:ln>
          </c:spPr>
          <c:explosion val="0"/>
          <c:dPt>
            <c:idx val="0"/>
            <c:bubble3D val="0"/>
            <c:spPr>
              <a:solidFill>
                <a:srgbClr val="9999FF"/>
              </a:solidFill>
              <a:ln w="20620">
                <a:solidFill>
                  <a:srgbClr val="000000"/>
                </a:solidFill>
                <a:prstDash val="solid"/>
              </a:ln>
            </c:spPr>
          </c:dPt>
          <c:dPt>
            <c:idx val="1"/>
            <c:bubble3D val="0"/>
            <c:spPr>
              <a:solidFill>
                <a:srgbClr val="993366"/>
              </a:solidFill>
              <a:ln w="20620">
                <a:solidFill>
                  <a:srgbClr val="000000"/>
                </a:solidFill>
                <a:prstDash val="solid"/>
              </a:ln>
            </c:spPr>
          </c:dPt>
          <c:dPt>
            <c:idx val="2"/>
            <c:bubble3D val="0"/>
            <c:spPr>
              <a:solidFill>
                <a:srgbClr val="FFFFCC"/>
              </a:solidFill>
              <a:ln w="20620">
                <a:solidFill>
                  <a:srgbClr val="000000"/>
                </a:solidFill>
                <a:prstDash val="solid"/>
              </a:ln>
            </c:spPr>
          </c:dPt>
          <c:dLbls>
            <c:dLbl>
              <c:idx val="0"/>
              <c:layout>
                <c:manualLayout>
                  <c:x val="-0.181272199931913"/>
                  <c:y val="0.124753628076757"/>
                </c:manualLayout>
              </c:layout>
              <c:tx>
                <c:rich>
                  <a:bodyPr rot="0" spcFirstLastPara="0" vertOverflow="ellipsis" vert="horz" wrap="square" lIns="38100" tIns="19050" rIns="38100" bIns="19050" anchor="ctr" anchorCtr="1"/>
                  <a:lstStyle/>
                  <a:p>
                    <a:pPr>
                      <a:defRPr lang="zh-CN" sz="14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460" b="0" i="0" u="none" strike="noStrike" baseline="0">
                        <a:solidFill>
                          <a:srgbClr val="000000"/>
                        </a:solidFill>
                        <a:latin typeface="宋体" panose="02010600030101010101" charset="-122"/>
                        <a:ea typeface="宋体" panose="02010600030101010101" charset="-122"/>
                      </a:rPr>
                      <a:t> 基本支出</a:t>
                    </a:r>
                    <a:r>
                      <a:rPr lang="en-US" altLang="zh-CN" sz="1460" b="0" i="0" u="none" strike="noStrike" baseline="0">
                        <a:solidFill>
                          <a:srgbClr val="000000"/>
                        </a:solidFill>
                        <a:latin typeface="宋体" panose="02010600030101010101" charset="-122"/>
                        <a:ea typeface="宋体" panose="02010600030101010101" charset="-122"/>
                      </a:rPr>
                      <a:t>45.03</a:t>
                    </a:r>
                    <a:r>
                      <a:rPr lang="zh-CN" altLang="en-US" sz="1460" b="0" i="0" u="none" strike="noStrike" baseline="0">
                        <a:solidFill>
                          <a:srgbClr val="000000"/>
                        </a:solidFill>
                        <a:latin typeface="宋体" panose="02010600030101010101" charset="-122"/>
                        <a:ea typeface="宋体" panose="02010600030101010101" charset="-122"/>
                      </a:rPr>
                      <a:t>万元</a:t>
                    </a:r>
                    <a:r>
                      <a:rPr lang="en-US" altLang="zh-CN" sz="1460" b="0" i="0" u="none" strike="noStrike" baseline="0">
                        <a:solidFill>
                          <a:srgbClr val="000000"/>
                        </a:solidFill>
                        <a:latin typeface="宋体" panose="02010600030101010101" charset="-122"/>
                        <a:ea typeface="宋体" panose="02010600030101010101" charset="-122"/>
                      </a:rPr>
                      <a:t>,35% </a:t>
                    </a:r>
                    <a:endParaRPr lang="en-US" altLang="zh-CN" sz="1460" b="0" i="0" u="none" strike="noStrike" baseline="0">
                      <a:solidFill>
                        <a:srgbClr val="000000"/>
                      </a:solidFill>
                      <a:latin typeface="宋体" panose="02010600030101010101" charset="-122"/>
                      <a:ea typeface="宋体" panose="02010600030101010101" charset="-122"/>
                    </a:endParaRPr>
                  </a:p>
                </c:rich>
              </c:tx>
              <c:numFmt formatCode="General" sourceLinked="1"/>
              <c:spPr>
                <a:noFill/>
                <a:ln w="41240">
                  <a:noFill/>
                </a:ln>
                <a:effectLst/>
              </c:spPr>
              <c:txPr>
                <a:bodyPr rot="0" spcFirstLastPara="0" vertOverflow="ellipsis" vert="horz" wrap="square" lIns="38100" tIns="19050" rIns="38100" bIns="19050" anchor="ctr" anchorCtr="1"/>
                <a:lstStyle/>
                <a:p>
                  <a:pPr>
                    <a:defRPr lang="zh-CN" sz="14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0.130177514792899"/>
                  <c:y val="-0.094124987347719"/>
                </c:manualLayout>
              </c:layout>
              <c:tx>
                <c:rich>
                  <a:bodyPr rot="0" spcFirstLastPara="0" vertOverflow="ellipsis" vert="horz" wrap="square" lIns="38100" tIns="19050" rIns="38100" bIns="19050" anchor="ctr" anchorCtr="1"/>
                  <a:lstStyle/>
                  <a:p>
                    <a:pPr>
                      <a:defRPr lang="zh-CN" sz="14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460" b="0" i="0" u="none" strike="noStrike" baseline="0">
                        <a:solidFill>
                          <a:srgbClr val="000000"/>
                        </a:solidFill>
                        <a:latin typeface="宋体" panose="02010600030101010101" charset="-122"/>
                        <a:ea typeface="宋体" panose="02010600030101010101" charset="-122"/>
                      </a:rPr>
                      <a:t> 项目支出</a:t>
                    </a:r>
                    <a:r>
                      <a:rPr lang="en-US" altLang="zh-CN" sz="1460" b="0" i="0" u="none" strike="noStrike" baseline="0">
                        <a:solidFill>
                          <a:srgbClr val="000000"/>
                        </a:solidFill>
                        <a:latin typeface="宋体" panose="02010600030101010101" charset="-122"/>
                        <a:ea typeface="宋体" panose="02010600030101010101" charset="-122"/>
                      </a:rPr>
                      <a:t>80.74</a:t>
                    </a:r>
                    <a:r>
                      <a:rPr lang="zh-CN" altLang="en-US" sz="1460" b="0" i="0" u="none" strike="noStrike" baseline="0">
                        <a:solidFill>
                          <a:srgbClr val="000000"/>
                        </a:solidFill>
                        <a:latin typeface="宋体" panose="02010600030101010101" charset="-122"/>
                        <a:ea typeface="宋体" panose="02010600030101010101" charset="-122"/>
                      </a:rPr>
                      <a:t>万元</a:t>
                    </a:r>
                    <a:r>
                      <a:rPr lang="en-US" altLang="zh-CN" sz="1460" b="0" i="0" u="none" strike="noStrike" baseline="0">
                        <a:solidFill>
                          <a:srgbClr val="000000"/>
                        </a:solidFill>
                        <a:latin typeface="宋体" panose="02010600030101010101" charset="-122"/>
                        <a:ea typeface="宋体" panose="02010600030101010101" charset="-122"/>
                      </a:rPr>
                      <a:t>,65%</a:t>
                    </a:r>
                    <a:endParaRPr lang="en-US" altLang="zh-CN" sz="1460" b="0" i="0" u="none" strike="noStrike" baseline="0">
                      <a:solidFill>
                        <a:srgbClr val="000000"/>
                      </a:solidFill>
                      <a:latin typeface="宋体" panose="02010600030101010101" charset="-122"/>
                      <a:ea typeface="宋体" panose="02010600030101010101" charset="-122"/>
                    </a:endParaRPr>
                  </a:p>
                </c:rich>
              </c:tx>
              <c:numFmt formatCode="General" sourceLinked="1"/>
              <c:spPr>
                <a:noFill/>
                <a:ln w="41240">
                  <a:noFill/>
                </a:ln>
                <a:effectLst/>
              </c:spPr>
              <c:txPr>
                <a:bodyPr rot="0" spcFirstLastPara="0" vertOverflow="ellipsis" vert="horz" wrap="square" lIns="38100" tIns="19050" rIns="38100" bIns="19050" anchor="ctr" anchorCtr="1"/>
                <a:lstStyle/>
                <a:p>
                  <a:pPr>
                    <a:defRPr lang="zh-CN" sz="14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w="41240">
                <a:noFill/>
              </a:ln>
              <a:effectLst/>
            </c:spPr>
            <c:txPr>
              <a:bodyPr rot="0" spcFirstLastPara="0" vertOverflow="ellipsis" vert="horz" wrap="square" lIns="38100" tIns="19050" rIns="38100" bIns="19050" anchor="ctr" anchorCtr="1"/>
              <a:lstStyle/>
              <a:p>
                <a:pPr>
                  <a:defRPr lang="zh-CN" sz="13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1"/>
            <c:showPercent val="0"/>
            <c:showBubbleSize val="0"/>
            <c:showLeaderLines val="1"/>
            <c:extLst>
              <c:ext xmlns:c15="http://schemas.microsoft.com/office/drawing/2012/chart" uri="{CE6537A1-D6FC-4f65-9D91-7224C49458BB}">
                <c15:layout/>
                <c15:showLeaderLines val="1"/>
                <c15:leaderLines/>
              </c:ext>
            </c:extLst>
          </c:dLbls>
          <c:cat>
            <c:strRef>
              <c:f>Sheet1!$B$1:$D$1</c:f>
              <c:strCache>
                <c:ptCount val="3"/>
                <c:pt idx="0">
                  <c:v>基本支出</c:v>
                </c:pt>
                <c:pt idx="1">
                  <c:v>项目支出</c:v>
                </c:pt>
                <c:pt idx="2">
                  <c:v>经营支出</c:v>
                </c:pt>
              </c:strCache>
            </c:strRef>
          </c:cat>
          <c:val>
            <c:numRef>
              <c:f>Sheet1!$B$2:$D$2</c:f>
              <c:numCache>
                <c:formatCode>General</c:formatCode>
                <c:ptCount val="3"/>
                <c:pt idx="0">
                  <c:v>45.03</c:v>
                </c:pt>
                <c:pt idx="1">
                  <c:v>80.74</c:v>
                </c:pt>
              </c:numCache>
            </c:numRef>
          </c:val>
        </c:ser>
        <c:dLbls>
          <c:showLegendKey val="0"/>
          <c:showVal val="1"/>
          <c:showCatName val="1"/>
          <c:showSerName val="0"/>
          <c:showPercent val="1"/>
          <c:showBubbleSize val="0"/>
        </c:dLbls>
      </c:pie3DChart>
      <c:spPr>
        <a:solidFill>
          <a:srgbClr val="C0C0C0"/>
        </a:solidFill>
        <a:ln w="20620">
          <a:solidFill>
            <a:srgbClr val="808080"/>
          </a:solidFill>
          <a:prstDash val="solid"/>
        </a:ln>
      </c:spPr>
    </c:plotArea>
    <c:legend>
      <c:legendPos val="r"/>
      <c:layout>
        <c:manualLayout>
          <c:xMode val="edge"/>
          <c:yMode val="edge"/>
          <c:x val="0.810650887573965"/>
          <c:y val="0.417004048582996"/>
          <c:w val="0.183431952662722"/>
          <c:h val="0.198380566801619"/>
        </c:manualLayout>
      </c:layout>
      <c:overlay val="0"/>
      <c:spPr>
        <a:noFill/>
        <a:ln w="5155">
          <a:solidFill>
            <a:srgbClr val="000000"/>
          </a:solidFill>
          <a:prstDash val="solid"/>
        </a:ln>
      </c:spPr>
      <c:txPr>
        <a:bodyPr rot="0" spcFirstLastPara="0" vertOverflow="ellipsis" vert="horz" wrap="square" anchor="ctr" anchorCtr="1"/>
        <a:lstStyle/>
        <a:p>
          <a:pPr>
            <a:defRPr lang="zh-CN" sz="119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6350" cap="flat" cmpd="sng" algn="ctr">
      <a:noFill/>
      <a:prstDash val="solid"/>
      <a:round/>
    </a:ln>
  </c:spPr>
  <c:txPr>
    <a:bodyPr/>
    <a:lstStyle/>
    <a:p>
      <a:pPr>
        <a:defRPr lang="zh-CN" sz="13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图二：</a:t>
            </a:r>
            <a:r>
              <a:rPr lang="en-US" altLang="zh-CN" sz="1200"/>
              <a:t>2018</a:t>
            </a:r>
            <a:r>
              <a:rPr lang="zh-CN" altLang="en-US" sz="1200"/>
              <a:t>－</a:t>
            </a:r>
            <a:r>
              <a:rPr lang="en-US" altLang="zh-CN" sz="1200"/>
              <a:t>2019</a:t>
            </a:r>
            <a:r>
              <a:rPr lang="zh-CN" altLang="en-US" sz="1200"/>
              <a:t>年财政拨款收支情况（单位：万元）</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2018</c:v>
                </c:pt>
              </c:strCache>
            </c:strRef>
          </c:tx>
          <c:invertIfNegative val="0"/>
          <c:dLbls>
            <c:delete val="1"/>
          </c:dLbls>
          <c:cat>
            <c:strRef>
              <c:f>Sheet1!$A$2:$A$5</c:f>
              <c:strCache>
                <c:ptCount val="2"/>
                <c:pt idx="0">
                  <c:v>收入</c:v>
                </c:pt>
                <c:pt idx="1">
                  <c:v>支出</c:v>
                </c:pt>
              </c:strCache>
            </c:strRef>
          </c:cat>
          <c:val>
            <c:numRef>
              <c:f>Sheet1!$B$2:$B$5</c:f>
              <c:numCache>
                <c:formatCode>General</c:formatCode>
                <c:ptCount val="4"/>
                <c:pt idx="0">
                  <c:v>135.32</c:v>
                </c:pt>
                <c:pt idx="1">
                  <c:v>125.77</c:v>
                </c:pt>
              </c:numCache>
            </c:numRef>
          </c:val>
        </c:ser>
        <c:ser>
          <c:idx val="1"/>
          <c:order val="1"/>
          <c:tx>
            <c:strRef>
              <c:f>Sheet1!$C$1</c:f>
              <c:strCache>
                <c:ptCount val="1"/>
                <c:pt idx="0">
                  <c:v>2019</c:v>
                </c:pt>
              </c:strCache>
            </c:strRef>
          </c:tx>
          <c:invertIfNegative val="0"/>
          <c:dLbls>
            <c:delete val="1"/>
          </c:dLbls>
          <c:cat>
            <c:strRef>
              <c:f>Sheet1!$A$2:$A$5</c:f>
              <c:strCache>
                <c:ptCount val="2"/>
                <c:pt idx="0">
                  <c:v>收入</c:v>
                </c:pt>
                <c:pt idx="1">
                  <c:v>支出</c:v>
                </c:pt>
              </c:strCache>
            </c:strRef>
          </c:cat>
          <c:val>
            <c:numRef>
              <c:f>Sheet1!$C$2:$C$5</c:f>
              <c:numCache>
                <c:formatCode>General</c:formatCode>
                <c:ptCount val="4"/>
                <c:pt idx="0">
                  <c:v>138.55</c:v>
                </c:pt>
                <c:pt idx="1">
                  <c:v>167.61</c:v>
                </c:pt>
              </c:numCache>
            </c:numRef>
          </c:val>
        </c:ser>
        <c:ser>
          <c:idx val="2"/>
          <c:order val="2"/>
          <c:tx>
            <c:strRef>
              <c:f>Sheet1!$D$1</c:f>
              <c:strCache>
                <c:ptCount val="1"/>
                <c:pt idx="0">
                  <c:v/>
                </c:pt>
              </c:strCache>
            </c:strRef>
          </c:tx>
          <c:invertIfNegative val="0"/>
          <c:dLbls>
            <c:delete val="1"/>
          </c:dLbls>
          <c:cat>
            <c:strRef>
              <c:f>Sheet1!$A$2:$A$5</c:f>
              <c:strCache>
                <c:ptCount val="2"/>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14528384"/>
        <c:axId val="214529920"/>
      </c:barChart>
      <c:catAx>
        <c:axId val="21452838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529920"/>
        <c:crosses val="autoZero"/>
        <c:auto val="1"/>
        <c:lblAlgn val="ctr"/>
        <c:lblOffset val="100"/>
        <c:noMultiLvlLbl val="0"/>
      </c:catAx>
      <c:valAx>
        <c:axId val="2145299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528384"/>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图三：财政拨款预算决算对比情况（单位：万元）</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预算</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Sheet1!$B$2:$B$3</c:f>
              <c:numCache>
                <c:formatCode>General</c:formatCode>
                <c:ptCount val="2"/>
                <c:pt idx="0">
                  <c:v>210.63</c:v>
                </c:pt>
                <c:pt idx="1">
                  <c:v>210.63</c:v>
                </c:pt>
              </c:numCache>
            </c:numRef>
          </c:val>
        </c:ser>
        <c:ser>
          <c:idx val="1"/>
          <c:order val="1"/>
          <c:tx>
            <c:strRef>
              <c:f>Sheet1!$C$1</c:f>
              <c:strCache>
                <c:ptCount val="1"/>
                <c:pt idx="0">
                  <c:v>决算</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Sheet1!$C$2:$C$3</c:f>
              <c:numCache>
                <c:formatCode>General</c:formatCode>
                <c:ptCount val="2"/>
                <c:pt idx="0">
                  <c:v>138.55</c:v>
                </c:pt>
                <c:pt idx="1">
                  <c:v>167.61</c:v>
                </c:pt>
              </c:numCache>
            </c:numRef>
          </c:val>
        </c:ser>
        <c:dLbls>
          <c:showLegendKey val="0"/>
          <c:showVal val="1"/>
          <c:showCatName val="0"/>
          <c:showSerName val="0"/>
          <c:showPercent val="0"/>
          <c:showBubbleSize val="0"/>
        </c:dLbls>
        <c:gapWidth val="150"/>
        <c:overlap val="-25"/>
        <c:axId val="214544384"/>
        <c:axId val="214545920"/>
      </c:barChart>
      <c:catAx>
        <c:axId val="21454438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545920"/>
        <c:crosses val="autoZero"/>
        <c:auto val="1"/>
        <c:lblAlgn val="ctr"/>
        <c:lblOffset val="100"/>
        <c:noMultiLvlLbl val="0"/>
      </c:catAx>
      <c:valAx>
        <c:axId val="214545920"/>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544384"/>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14"/>
    <customShpInfo spid="_x0000_s2115"/>
    <customShpInfo spid="_x0000_s2113"/>
    <customShpInfo spid="_x0000_s2110"/>
    <customShpInfo spid="_x0000_s2111"/>
    <customShpInfo spid="_x0000_s2112"/>
    <customShpInfo spid="_x0000_s2109"/>
    <customShpInfo spid="_x0000_s2086"/>
    <customShpInfo spid="_x0000_s2085"/>
    <customShpInfo spid="_x0000_s2084"/>
    <customShpInfo spid="_x0000_s2083"/>
    <customShpInfo spid="_x0000_s2082"/>
    <customShpInfo spid="_x0000_s2081"/>
    <customShpInfo spid="_x0000_s2080"/>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64"/>
    <customShpInfo spid="_x0000_s1063"/>
    <customShpInfo spid="_x0000_s1062"/>
    <customShpInfo spid="_x0000_s1061"/>
    <customShpInfo spid="_x0000_s1059"/>
    <customShpInfo spid="_x0000_s1060"/>
    <customShpInfo spid="_x0000_s1058"/>
    <customShpInfo spid="_x0000_s1054"/>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8A2DC-4DBB-4B26-9367-8A955419C1B2}">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30</Pages>
  <Words>1592</Words>
  <Characters>9078</Characters>
  <Lines>75</Lines>
  <Paragraphs>21</Paragraphs>
  <TotalTime>1005</TotalTime>
  <ScaleCrop>false</ScaleCrop>
  <LinksUpToDate>false</LinksUpToDate>
  <CharactersWithSpaces>10649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2023-08-16T03:37:36Z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5CC8880B14744F8499FD63A8265F7D69</vt:lpwstr>
  </property>
</Properties>
</file>