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b/>
          <w:bCs/>
          <w:sz w:val="44"/>
          <w:szCs w:val="44"/>
        </w:rPr>
      </w:pPr>
      <w:bookmarkStart w:id="1" w:name="_GoBack"/>
      <w:bookmarkEnd w:id="1"/>
      <w:bookmarkStart w:id="0" w:name="_Toc24724725"/>
      <w:r>
        <w:rPr>
          <w:rFonts w:hint="eastAsia" w:asciiTheme="minorEastAsia" w:hAnsiTheme="minorEastAsia" w:eastAsiaTheme="minorEastAsia" w:cstheme="minorEastAsia"/>
          <w:b/>
          <w:bCs/>
          <w:sz w:val="44"/>
          <w:szCs w:val="44"/>
          <w:lang w:eastAsia="zh-CN"/>
        </w:rPr>
        <w:t>高新区应急局</w:t>
      </w:r>
      <w:r>
        <w:rPr>
          <w:rFonts w:hint="eastAsia" w:asciiTheme="minorEastAsia" w:hAnsiTheme="minorEastAsia" w:eastAsiaTheme="minorEastAsia" w:cstheme="minorEastAsia"/>
          <w:b/>
          <w:bCs/>
          <w:sz w:val="44"/>
          <w:szCs w:val="44"/>
        </w:rPr>
        <w:t>政务公开目录</w:t>
      </w:r>
      <w:bookmarkEnd w:id="0"/>
    </w:p>
    <w:tbl>
      <w:tblPr>
        <w:tblStyle w:val="3"/>
        <w:tblW w:w="13920"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15"/>
        <w:gridCol w:w="975"/>
        <w:gridCol w:w="2760"/>
        <w:gridCol w:w="2745"/>
        <w:gridCol w:w="1920"/>
        <w:gridCol w:w="1305"/>
        <w:gridCol w:w="645"/>
        <w:gridCol w:w="750"/>
        <w:gridCol w:w="58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15" w:type="dxa"/>
            <w:vMerge w:val="restart"/>
            <w:noWrap w:val="0"/>
            <w:vAlign w:val="center"/>
          </w:tcPr>
          <w:p>
            <w:pPr>
              <w:widowControl/>
              <w:jc w:val="center"/>
              <w:rPr>
                <w:rFonts w:hint="eastAsia" w:ascii="仿宋_GB2312" w:hAnsi="Times New Roman" w:eastAsia="仿宋_GB2312" w:cs="Times New Roman"/>
                <w:color w:val="000000"/>
                <w:kern w:val="0"/>
                <w:sz w:val="18"/>
                <w:szCs w:val="18"/>
              </w:rPr>
            </w:pPr>
            <w:r>
              <w:rPr>
                <w:rFonts w:hint="eastAsia" w:ascii="黑体" w:hAnsi="宋体" w:eastAsia="黑体" w:cs="宋体"/>
                <w:color w:val="000000"/>
                <w:kern w:val="0"/>
                <w:sz w:val="22"/>
              </w:rPr>
              <w:t>序号</w:t>
            </w:r>
          </w:p>
        </w:tc>
        <w:tc>
          <w:tcPr>
            <w:tcW w:w="189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6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4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05"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95"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9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15" w:type="dxa"/>
            <w:vMerge w:val="continue"/>
            <w:noWrap w:val="0"/>
            <w:vAlign w:val="center"/>
          </w:tcPr>
          <w:p>
            <w:pPr>
              <w:widowControl/>
              <w:jc w:val="center"/>
              <w:rPr>
                <w:rFonts w:hint="eastAsia" w:ascii="仿宋_GB2312" w:hAnsi="Times New Roman" w:eastAsia="仿宋_GB2312" w:cs="Times New Roman"/>
                <w:color w:val="000000"/>
                <w:kern w:val="0"/>
                <w:sz w:val="18"/>
                <w:szCs w:val="18"/>
              </w:rPr>
            </w:pPr>
          </w:p>
        </w:tc>
        <w:tc>
          <w:tcPr>
            <w:tcW w:w="91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7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60" w:type="dxa"/>
            <w:vMerge w:val="continue"/>
            <w:noWrap w:val="0"/>
            <w:vAlign w:val="center"/>
          </w:tcPr>
          <w:p>
            <w:pPr>
              <w:widowControl/>
              <w:jc w:val="left"/>
              <w:rPr>
                <w:rFonts w:hint="eastAsia" w:ascii="黑体" w:hAnsi="宋体" w:eastAsia="黑体" w:cs="宋体"/>
                <w:color w:val="000000"/>
                <w:kern w:val="0"/>
                <w:sz w:val="22"/>
              </w:rPr>
            </w:pPr>
          </w:p>
        </w:tc>
        <w:tc>
          <w:tcPr>
            <w:tcW w:w="2745" w:type="dxa"/>
            <w:vMerge w:val="continue"/>
            <w:noWrap w:val="0"/>
            <w:vAlign w:val="center"/>
          </w:tcPr>
          <w:p>
            <w:pPr>
              <w:widowControl/>
              <w:jc w:val="left"/>
              <w:rPr>
                <w:rFonts w:hint="eastAsia" w:ascii="黑体" w:hAnsi="宋体" w:eastAsia="黑体" w:cs="宋体"/>
                <w:color w:val="000000"/>
                <w:kern w:val="0"/>
                <w:sz w:val="22"/>
              </w:rPr>
            </w:pPr>
          </w:p>
        </w:tc>
        <w:tc>
          <w:tcPr>
            <w:tcW w:w="1920" w:type="dxa"/>
            <w:vMerge w:val="continue"/>
            <w:noWrap w:val="0"/>
            <w:vAlign w:val="center"/>
          </w:tcPr>
          <w:p>
            <w:pPr>
              <w:widowControl/>
              <w:jc w:val="left"/>
              <w:rPr>
                <w:rFonts w:hint="eastAsia" w:ascii="黑体" w:hAnsi="宋体" w:eastAsia="黑体" w:cs="宋体"/>
                <w:color w:val="000000"/>
                <w:kern w:val="0"/>
                <w:sz w:val="22"/>
              </w:rPr>
            </w:pPr>
          </w:p>
        </w:tc>
        <w:tc>
          <w:tcPr>
            <w:tcW w:w="1305" w:type="dxa"/>
            <w:vMerge w:val="continue"/>
            <w:noWrap w:val="0"/>
            <w:vAlign w:val="center"/>
          </w:tcPr>
          <w:p>
            <w:pPr>
              <w:widowControl/>
              <w:jc w:val="center"/>
              <w:rPr>
                <w:rFonts w:hint="eastAsia" w:ascii="黑体" w:hAnsi="宋体" w:eastAsia="黑体" w:cs="宋体"/>
                <w:color w:val="000000"/>
                <w:kern w:val="0"/>
                <w:sz w:val="22"/>
              </w:rPr>
            </w:pPr>
          </w:p>
        </w:tc>
        <w:tc>
          <w:tcPr>
            <w:tcW w:w="64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社</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会</w:t>
            </w:r>
          </w:p>
        </w:tc>
        <w:tc>
          <w:tcPr>
            <w:tcW w:w="75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8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05"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1</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行政处罚</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办理行政处罚的依据、条件、程序以及本级行政机关认为具有一定社会影响的行政处罚决定</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、《关于推进安全生产领域改革发展的意见》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2</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行政强制</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办理行政强制的依据、条件、程序</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、《突发事件应对法》、《突发事件应急预案管理办法》、《中共中央 国务院关于推进安全生产领域改革发展的意见》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3</w:t>
            </w:r>
          </w:p>
        </w:tc>
        <w:tc>
          <w:tcPr>
            <w:tcW w:w="915"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隐患管理</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重大隐患排查、挂牌督办及其整改情况，安全生产举报电话等</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《中华人民共和国安全生产法》</w:t>
            </w:r>
            <w:r>
              <w:rPr>
                <w:rFonts w:hint="eastAsia" w:ascii="仿宋_GB2312" w:eastAsia="仿宋_GB2312" w:cs="Times New Roman"/>
                <w:bCs/>
                <w:color w:val="000000"/>
                <w:sz w:val="18"/>
                <w:szCs w:val="18"/>
              </w:rPr>
              <w:t>、</w:t>
            </w: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应急管理</w:t>
            </w:r>
          </w:p>
        </w:tc>
        <w:tc>
          <w:tcPr>
            <w:tcW w:w="276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xml:space="preserve">承担处置主责、非敏感的应急信息，包括事故灾害类预警信息、事故信息、事故后采取的应急处置措施和应对结果等  </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、《突发事件应对法》、《关于全面加强政务公开工作的意见》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黑名单管理</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列入或撤销纳入安全生产黑名单管理的企业信息，具体企业名称、证照编号、经营地址、负责人姓名等</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、《社会信用体系建设规划纲要（2014-2020年）》</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信息形成或变更之日起20个工作日内</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事故通报</w:t>
            </w:r>
          </w:p>
        </w:tc>
        <w:tc>
          <w:tcPr>
            <w:tcW w:w="2760" w:type="dxa"/>
            <w:noWrap w:val="0"/>
            <w:vAlign w:val="center"/>
          </w:tcPr>
          <w:p>
            <w:pPr>
              <w:jc w:val="left"/>
              <w:rPr>
                <w:rFonts w:hint="eastAsia" w:ascii="仿宋_GB2312" w:hAnsi="宋体" w:eastAsia="仿宋_GB2312" w:cs="宋体"/>
                <w:bCs/>
                <w:sz w:val="18"/>
                <w:szCs w:val="18"/>
              </w:rPr>
            </w:pPr>
            <w:r>
              <w:rPr>
                <w:rFonts w:hint="eastAsia" w:ascii="仿宋_GB2312" w:eastAsia="仿宋_GB2312" w:cs="Times New Roman"/>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《中华人民共和国安全生产法》</w:t>
            </w:r>
            <w:r>
              <w:rPr>
                <w:rFonts w:hint="eastAsia" w:ascii="仿宋_GB2312" w:eastAsia="仿宋_GB2312" w:cs="Times New Roman"/>
                <w:bCs/>
                <w:color w:val="000000"/>
                <w:sz w:val="18"/>
                <w:szCs w:val="18"/>
              </w:rPr>
              <w:t>、</w:t>
            </w: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按照中央有关要求公开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动态信息</w:t>
            </w:r>
          </w:p>
        </w:tc>
        <w:tc>
          <w:tcPr>
            <w:tcW w:w="276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业务工作动态、安全生产执法检查动态</w:t>
            </w:r>
          </w:p>
        </w:tc>
        <w:tc>
          <w:tcPr>
            <w:tcW w:w="27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lang w:eastAsia="zh-CN"/>
              </w:rPr>
              <w:t>《中华人民共和国政府信息公开条例》</w:t>
            </w:r>
            <w:r>
              <w:rPr>
                <w:rFonts w:hint="eastAsia" w:ascii="仿宋_GB2312" w:eastAsia="仿宋_GB2312" w:cs="Times New Roman"/>
                <w:bCs/>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615"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政务公开标准</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政府信息公开指南等流程性信息</w:t>
            </w:r>
          </w:p>
        </w:tc>
        <w:tc>
          <w:tcPr>
            <w:tcW w:w="2745" w:type="dxa"/>
            <w:noWrap w:val="0"/>
            <w:vAlign w:val="center"/>
          </w:tcPr>
          <w:p>
            <w:pPr>
              <w:rPr>
                <w:rFonts w:hint="eastAsia" w:ascii="仿宋_GB2312" w:hAnsi="宋体" w:eastAsia="仿宋_GB2312" w:cs="宋体"/>
                <w:bCs/>
                <w:color w:val="000000"/>
                <w:sz w:val="18"/>
                <w:szCs w:val="18"/>
                <w:lang w:eastAsia="zh-CN"/>
              </w:rPr>
            </w:pPr>
            <w:r>
              <w:rPr>
                <w:rFonts w:hint="eastAsia" w:ascii="仿宋_GB2312" w:eastAsia="仿宋_GB2312" w:cs="Times New Roman"/>
                <w:bCs/>
                <w:color w:val="000000"/>
                <w:sz w:val="18"/>
                <w:szCs w:val="18"/>
                <w:lang w:eastAsia="zh-CN"/>
              </w:rPr>
              <w:t>《中华人民共和国政府信息公开条例》</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权力清单及责任清单</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同级政府审批通过的行政执法主体信息和行政许可、行政处罚、行政强制、行政检查、行政确认、行政奖励及其他行政职权等行政执法职权职责清单</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信息形成或者变更20个工作日内，如有更新，及时公开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主要业务办事指南</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主要业务工作的办事依据、程序、时限，办事时间、地点、部门、联系方式及相关办理结果</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信息形成或者变更之日起20个工作日内</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年度报告</w:t>
            </w:r>
          </w:p>
        </w:tc>
        <w:tc>
          <w:tcPr>
            <w:tcW w:w="276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政府信息公开年度报告及相关统计报表</w:t>
            </w:r>
          </w:p>
        </w:tc>
        <w:tc>
          <w:tcPr>
            <w:tcW w:w="2745" w:type="dxa"/>
            <w:noWrap w:val="0"/>
            <w:vAlign w:val="center"/>
          </w:tcPr>
          <w:p>
            <w:pPr>
              <w:rPr>
                <w:rFonts w:hint="eastAsia" w:ascii="仿宋_GB2312" w:hAnsi="宋体" w:eastAsia="仿宋_GB2312" w:cs="宋体"/>
                <w:bCs/>
                <w:sz w:val="18"/>
                <w:szCs w:val="18"/>
                <w:lang w:eastAsia="zh-CN"/>
              </w:rPr>
            </w:pPr>
            <w:r>
              <w:rPr>
                <w:rFonts w:hint="eastAsia" w:ascii="仿宋_GB2312" w:eastAsia="仿宋_GB2312" w:cs="Times New Roman"/>
                <w:bCs/>
                <w:sz w:val="18"/>
                <w:szCs w:val="18"/>
                <w:lang w:eastAsia="zh-CN"/>
              </w:rPr>
              <w:t>《中华人民共和国政府信息公开条例》</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每年1月31日前</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915"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财政资金信息</w:t>
            </w:r>
          </w:p>
        </w:tc>
        <w:tc>
          <w:tcPr>
            <w:tcW w:w="2760" w:type="dxa"/>
            <w:noWrap w:val="0"/>
            <w:vAlign w:val="center"/>
          </w:tcPr>
          <w:p>
            <w:pPr>
              <w:rPr>
                <w:rFonts w:hint="eastAsia" w:ascii="仿宋_GB2312" w:eastAsia="仿宋_GB2312" w:cs="Times New Roman"/>
                <w:bCs/>
                <w:sz w:val="18"/>
                <w:szCs w:val="18"/>
              </w:rPr>
            </w:pPr>
            <w:r>
              <w:rPr>
                <w:rFonts w:hint="eastAsia" w:ascii="仿宋_GB2312" w:eastAsia="仿宋_GB2312" w:cs="Times New Roman"/>
                <w:bCs/>
                <w:sz w:val="18"/>
                <w:szCs w:val="18"/>
              </w:rPr>
              <w:t>预算、决算</w:t>
            </w:r>
          </w:p>
          <w:p>
            <w:pPr>
              <w:rPr>
                <w:rFonts w:hint="eastAsia" w:ascii="仿宋_GB2312" w:eastAsia="仿宋_GB2312" w:cs="Times New Roman"/>
                <w:bCs/>
                <w:sz w:val="18"/>
                <w:szCs w:val="18"/>
              </w:rPr>
            </w:pPr>
            <w:r>
              <w:rPr>
                <w:rFonts w:hint="eastAsia" w:ascii="仿宋_GB2312" w:eastAsia="仿宋_GB2312" w:cs="Times New Roman"/>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cs="Times New Roman"/>
                <w:bCs/>
                <w:sz w:val="18"/>
                <w:szCs w:val="18"/>
              </w:rPr>
              <w:t>安全生产专项资金使用等财政资金信息</w:t>
            </w:r>
          </w:p>
        </w:tc>
        <w:tc>
          <w:tcPr>
            <w:tcW w:w="27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lang w:eastAsia="zh-CN"/>
              </w:rPr>
              <w:t>《中华人民共和国政府信息公开条例》</w:t>
            </w:r>
            <w:r>
              <w:rPr>
                <w:rFonts w:hint="eastAsia" w:ascii="仿宋_GB2312" w:eastAsia="仿宋_GB2312" w:cs="Times New Roman"/>
                <w:bCs/>
                <w:sz w:val="18"/>
                <w:szCs w:val="18"/>
              </w:rPr>
              <w:t>、《国务院关于深化预算管理制度改革的决定》、《国务院办公厅关于进一步推进预算公开工作意见的通知》</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按中央要求时限公开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政府采购信息</w:t>
            </w:r>
          </w:p>
        </w:tc>
        <w:tc>
          <w:tcPr>
            <w:tcW w:w="276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本单位采购实施情况相关信息</w:t>
            </w:r>
          </w:p>
        </w:tc>
        <w:tc>
          <w:tcPr>
            <w:tcW w:w="27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lang w:eastAsia="zh-CN"/>
              </w:rPr>
              <w:t>《中华人民共和国政府信息公开条例》</w:t>
            </w:r>
            <w:r>
              <w:rPr>
                <w:rFonts w:hint="eastAsia" w:ascii="仿宋_GB2312" w:eastAsia="仿宋_GB2312" w:cs="Times New Roman"/>
                <w:bCs/>
                <w:sz w:val="18"/>
                <w:szCs w:val="18"/>
              </w:rPr>
              <w:t>、《国务院关于深化预算管理制度改革的决定》、中办、国办印发《关于进一步推进预算公开工作的意见》的通知</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办事纪律和监督管理</w:t>
            </w:r>
          </w:p>
        </w:tc>
        <w:tc>
          <w:tcPr>
            <w:tcW w:w="276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本单位的办事纪律,受理投诉、举报、信访的途径等内容</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915"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重大工程项目信息</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项目名称、执行措施、责任分工、取得成效、后续举措等</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、《国务院办公厅关于推进重大建设项目批准和实施领域政府信息公开的意见》</w:t>
            </w:r>
          </w:p>
        </w:tc>
        <w:tc>
          <w:tcPr>
            <w:tcW w:w="19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按照中央有关要求公开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15"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915" w:type="dxa"/>
            <w:vMerge w:val="continue"/>
            <w:noWrap w:val="0"/>
            <w:vAlign w:val="center"/>
          </w:tcPr>
          <w:p>
            <w:pPr>
              <w:rPr>
                <w:rFonts w:hint="eastAsia" w:ascii="仿宋_GB2312" w:hAnsi="宋体" w:eastAsia="仿宋_GB2312" w:cs="宋体"/>
                <w:color w:val="000000"/>
                <w:sz w:val="18"/>
                <w:szCs w:val="18"/>
              </w:rPr>
            </w:pPr>
          </w:p>
        </w:tc>
        <w:tc>
          <w:tcPr>
            <w:tcW w:w="97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检查和巡查发现安全监管监察问题</w:t>
            </w:r>
          </w:p>
        </w:tc>
        <w:tc>
          <w:tcPr>
            <w:tcW w:w="276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检查和巡查发现的、并要求向社会公开的问题及整改落实情况</w:t>
            </w:r>
          </w:p>
        </w:tc>
        <w:tc>
          <w:tcPr>
            <w:tcW w:w="274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lang w:eastAsia="zh-CN"/>
              </w:rPr>
              <w:t>《中华人民共和国政府信息公开条例》</w:t>
            </w:r>
            <w:r>
              <w:rPr>
                <w:rFonts w:hint="eastAsia" w:ascii="仿宋_GB2312" w:eastAsia="仿宋_GB2312" w:cs="Times New Roman"/>
                <w:bCs/>
                <w:color w:val="000000"/>
                <w:sz w:val="18"/>
                <w:szCs w:val="18"/>
              </w:rPr>
              <w:t>、《中共中央 国务院关于推进安全生产领域改革发展的意见》</w:t>
            </w:r>
          </w:p>
        </w:tc>
        <w:tc>
          <w:tcPr>
            <w:tcW w:w="1920"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按进展情况及时公开</w:t>
            </w:r>
          </w:p>
        </w:tc>
        <w:tc>
          <w:tcPr>
            <w:tcW w:w="130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应急</w:t>
            </w:r>
            <w:r>
              <w:rPr>
                <w:rFonts w:hint="eastAsia" w:ascii="仿宋_GB2312" w:eastAsia="仿宋_GB2312" w:cs="Times New Roman"/>
                <w:bCs/>
                <w:sz w:val="18"/>
                <w:szCs w:val="18"/>
                <w:lang w:eastAsia="zh-CN"/>
              </w:rPr>
              <w:t>管理局</w:t>
            </w:r>
          </w:p>
        </w:tc>
        <w:tc>
          <w:tcPr>
            <w:tcW w:w="64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5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c>
          <w:tcPr>
            <w:tcW w:w="585" w:type="dxa"/>
            <w:noWrap w:val="0"/>
            <w:vAlign w:val="center"/>
          </w:tcPr>
          <w:p>
            <w:pPr>
              <w:rPr>
                <w:rFonts w:hint="eastAsia" w:ascii="仿宋_GB2312" w:hAnsi="宋体" w:eastAsia="仿宋_GB2312" w:cs="宋体"/>
                <w:bCs/>
                <w:sz w:val="18"/>
                <w:szCs w:val="18"/>
              </w:rPr>
            </w:pPr>
            <w:r>
              <w:rPr>
                <w:rFonts w:hint="eastAsia" w:ascii="仿宋_GB2312" w:eastAsia="仿宋_GB2312" w:cs="Times New Roman"/>
                <w:bCs/>
                <w:sz w:val="18"/>
                <w:szCs w:val="18"/>
              </w:rPr>
              <w:t>√</w:t>
            </w:r>
          </w:p>
        </w:tc>
        <w:tc>
          <w:tcPr>
            <w:tcW w:w="705"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cs="Times New Roman"/>
                <w:bCs/>
                <w:color w:val="000000"/>
                <w:sz w:val="18"/>
                <w:szCs w:val="18"/>
              </w:rPr>
              <w:t>　</w:t>
            </w:r>
          </w:p>
        </w:tc>
      </w:tr>
    </w:tbl>
    <w:p/>
    <w:sectPr>
      <w:pgSz w:w="16838" w:h="11906" w:orient="landscape"/>
      <w:pgMar w:top="1800" w:right="1667" w:bottom="1800" w:left="16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ODhmY2RjNjdlMTdmZTg2OTBiMzBlMDEyZmIyNTEifQ=="/>
  </w:docVars>
  <w:rsids>
    <w:rsidRoot w:val="3731487D"/>
    <w:rsid w:val="18847325"/>
    <w:rsid w:val="1DFB7CF1"/>
    <w:rsid w:val="281E0EF6"/>
    <w:rsid w:val="33E43DBE"/>
    <w:rsid w:val="3731487D"/>
    <w:rsid w:val="39FD6BCE"/>
    <w:rsid w:val="3B214605"/>
    <w:rsid w:val="4C7C1CCF"/>
    <w:rsid w:val="4ED351C2"/>
    <w:rsid w:val="4FA10AC4"/>
    <w:rsid w:val="542047BB"/>
    <w:rsid w:val="5BBC7126"/>
    <w:rsid w:val="734C1277"/>
    <w:rsid w:val="7F5D0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2020-06-30T01:43:00Z</dcterms:created>
  <dc:creator>moon</dc:creator>
  <cp:lastModifiedBy>程龙</cp:lastModifiedBy>
  <dcterms:modified xsi:type="dcterms:W3CDTF">2024-03-05T06:37:32Z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99B0C1BF886C4623B21F0F8CDBBC3A52_12</vt:lpwstr>
  </property>
</Properties>
</file>