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 xml:space="preserve">承德高新区退役军人管理服务中心 </w:t>
      </w: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w:t>
      </w:r>
      <w:r>
        <w:rPr>
          <w:rFonts w:ascii="Times New Roman" w:hAnsi="Times New Roman" w:eastAsia="方正小标宋_GBK" w:cs="Times New Roman"/>
          <w:sz w:val="44"/>
          <w:szCs w:val="44"/>
        </w:rPr>
        <w:t>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p>
    <w:p>
      <w:pPr>
        <w:keepNext w:val="0"/>
        <w:keepLines w:val="0"/>
        <w:pageBreakBefore w:val="0"/>
        <w:kinsoku/>
        <w:wordWrap/>
        <w:overflowPunct/>
        <w:topLinePunct w:val="0"/>
        <w:bidi w:val="0"/>
        <w:spacing w:line="420" w:lineRule="exact"/>
        <w:ind w:firstLine="640" w:firstLineChars="200"/>
        <w:textAlignment w:val="auto"/>
        <w:rPr>
          <w:rFonts w:ascii="Times New Roman" w:hAnsi="Times New Roman" w:eastAsia="方正小标宋_GBK" w:cs="Times New Roman"/>
          <w:sz w:val="44"/>
          <w:szCs w:val="44"/>
        </w:rPr>
      </w:pPr>
      <w:r>
        <w:rPr>
          <w:rFonts w:hint="eastAsia" w:ascii="仿宋_GB2312" w:hAnsi="Times New Roman" w:eastAsia="仿宋_GB2312" w:cs="方正仿宋_GBK"/>
          <w:sz w:val="32"/>
          <w:szCs w:val="32"/>
        </w:rPr>
        <w:t>按照《</w:t>
      </w:r>
      <w:r>
        <w:rPr>
          <w:rFonts w:hint="eastAsia" w:ascii="仿宋_GB2312" w:hAnsi="Times New Roman" w:eastAsia="仿宋_GB2312" w:cs="方正仿宋_GBK"/>
          <w:sz w:val="32"/>
          <w:szCs w:val="32"/>
          <w:lang w:val="en-US" w:eastAsia="zh-CN"/>
        </w:rPr>
        <w:t>中华人民共和国</w:t>
      </w:r>
      <w:bookmarkStart w:id="2" w:name="_GoBack"/>
      <w:bookmarkEnd w:id="2"/>
      <w:r>
        <w:rPr>
          <w:rFonts w:hint="eastAsia" w:ascii="仿宋_GB2312" w:hAnsi="Times New Roman" w:eastAsia="仿宋_GB2312" w:cs="方正仿宋_GBK"/>
          <w:sz w:val="32"/>
          <w:szCs w:val="32"/>
        </w:rPr>
        <w:t>预算法》、《地方预决算公开操作规程》和《河北省预决算公开操作规程实施细则》现将</w:t>
      </w:r>
      <w:r>
        <w:rPr>
          <w:rFonts w:hint="eastAsia" w:ascii="仿宋_GB2312" w:hAnsi="Times New Roman" w:eastAsia="仿宋_GB2312"/>
          <w:sz w:val="32"/>
          <w:szCs w:val="32"/>
        </w:rPr>
        <w:t>2020</w:t>
      </w:r>
      <w:r>
        <w:rPr>
          <w:rFonts w:hint="eastAsia" w:ascii="仿宋_GB2312" w:hAnsi="Times New Roman" w:eastAsia="仿宋_GB2312" w:cs="方正仿宋_GBK"/>
          <w:sz w:val="32"/>
          <w:szCs w:val="32"/>
        </w:rPr>
        <w:t>年部门预算公开如下：</w:t>
      </w:r>
    </w:p>
    <w:p>
      <w:pPr>
        <w:keepNext w:val="0"/>
        <w:keepLines w:val="0"/>
        <w:pageBreakBefore w:val="0"/>
        <w:kinsoku/>
        <w:wordWrap/>
        <w:overflowPunct/>
        <w:topLinePunct w:val="0"/>
        <w:bidi w:val="0"/>
        <w:spacing w:line="420" w:lineRule="exact"/>
        <w:ind w:firstLine="640"/>
        <w:textAlignment w:val="auto"/>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keepNext w:val="0"/>
        <w:keepLines w:val="0"/>
        <w:pageBreakBefore w:val="0"/>
        <w:tabs>
          <w:tab w:val="left" w:pos="425"/>
        </w:tabs>
        <w:kinsoku/>
        <w:wordWrap/>
        <w:overflowPunct/>
        <w:topLinePunct w:val="0"/>
        <w:autoSpaceDE w:val="0"/>
        <w:autoSpaceDN w:val="0"/>
        <w:bidi w:val="0"/>
        <w:adjustRightInd w:val="0"/>
        <w:spacing w:line="420" w:lineRule="exact"/>
        <w:ind w:firstLine="643" w:firstLineChars="200"/>
        <w:jc w:val="left"/>
        <w:textAlignment w:val="auto"/>
        <w:rPr>
          <w:rFonts w:ascii="仿宋" w:hAnsi="仿宋" w:eastAsia="仿宋" w:cs="仿宋"/>
          <w:kern w:val="0"/>
          <w:sz w:val="30"/>
          <w:szCs w:val="30"/>
          <w:lang w:val="zh-CN"/>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hint="eastAsia" w:ascii="仿宋" w:hAnsi="仿宋" w:eastAsia="仿宋" w:cs="仿宋"/>
          <w:color w:val="000000"/>
          <w:sz w:val="30"/>
          <w:szCs w:val="30"/>
        </w:rPr>
        <w:t>负责管辖范围内军队转业干部（随军家属）、复员干部、退休干部、退役士兵的移交安置、解困及稳定工作。负责退役军人服务管理、工资福利待遇保障、政策调研、政策宣传、数据信息管理维护、职业教育和技能培训、就业创业服务工作。指导和组织建立精准帮扶责任制，开展常态化走访慰问、帮扶解困、化解矛盾和思想政治工作。指导全区拥军优属工作和优待抚恤，负责烈士及退役军人荣誉奖励等活动。配合有关部门做好来信来访工作。</w:t>
      </w:r>
    </w:p>
    <w:p>
      <w:pPr>
        <w:keepNext w:val="0"/>
        <w:keepLines w:val="0"/>
        <w:pageBreakBefore w:val="0"/>
        <w:widowControl/>
        <w:numPr>
          <w:ilvl w:val="0"/>
          <w:numId w:val="1"/>
        </w:numPr>
        <w:kinsoku/>
        <w:wordWrap/>
        <w:overflowPunct/>
        <w:topLinePunct w:val="0"/>
        <w:bidi w:val="0"/>
        <w:spacing w:line="420" w:lineRule="exact"/>
        <w:jc w:val="left"/>
        <w:textAlignment w:val="auto"/>
        <w:rPr>
          <w:rFonts w:ascii="仿宋" w:hAnsi="仿宋" w:eastAsia="仿宋" w:cs="Times New Roman"/>
          <w:bCs/>
          <w:sz w:val="32"/>
          <w:szCs w:val="32"/>
        </w:rPr>
      </w:pPr>
      <w:r>
        <w:rPr>
          <w:rFonts w:hint="eastAsia" w:ascii="仿宋" w:hAnsi="仿宋" w:eastAsia="仿宋" w:cs="Times New Roman"/>
          <w:b/>
          <w:sz w:val="32"/>
          <w:szCs w:val="32"/>
        </w:rPr>
        <w:t>机构设置：</w:t>
      </w:r>
    </w:p>
    <w:p>
      <w:pPr>
        <w:keepNext w:val="0"/>
        <w:keepLines w:val="0"/>
        <w:pageBreakBefore w:val="0"/>
        <w:widowControl/>
        <w:kinsoku/>
        <w:wordWrap/>
        <w:overflowPunct/>
        <w:topLinePunct w:val="0"/>
        <w:bidi w:val="0"/>
        <w:spacing w:line="420" w:lineRule="exact"/>
        <w:ind w:firstLine="640" w:firstLineChars="200"/>
        <w:jc w:val="left"/>
        <w:textAlignment w:val="auto"/>
        <w:rPr>
          <w:rFonts w:ascii="仿宋" w:hAnsi="仿宋" w:eastAsia="仿宋" w:cs="Times New Roman"/>
          <w:bCs/>
          <w:sz w:val="32"/>
          <w:szCs w:val="32"/>
        </w:rPr>
      </w:pPr>
      <w:r>
        <w:rPr>
          <w:rFonts w:hint="eastAsia" w:ascii="仿宋" w:hAnsi="仿宋" w:eastAsia="仿宋" w:cs="Times New Roman"/>
          <w:bCs/>
          <w:sz w:val="32"/>
          <w:szCs w:val="32"/>
        </w:rPr>
        <w:t>退役军人管理服务中心未分科室。</w:t>
      </w:r>
    </w:p>
    <w:p>
      <w:pPr>
        <w:keepNext w:val="0"/>
        <w:keepLines w:val="0"/>
        <w:pageBreakBefore w:val="0"/>
        <w:kinsoku/>
        <w:wordWrap/>
        <w:overflowPunct/>
        <w:topLinePunct w:val="0"/>
        <w:bidi w:val="0"/>
        <w:spacing w:line="420" w:lineRule="exact"/>
        <w:jc w:val="center"/>
        <w:textAlignment w:val="auto"/>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112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28"/>
        <w:gridCol w:w="1309"/>
        <w:gridCol w:w="1473"/>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5128" w:type="dxa"/>
            <w:vMerge w:val="restart"/>
            <w:vAlign w:val="center"/>
          </w:tcPr>
          <w:p>
            <w:pPr>
              <w:keepNext w:val="0"/>
              <w:keepLines w:val="0"/>
              <w:pageBreakBefore w:val="0"/>
              <w:kinsoku/>
              <w:wordWrap/>
              <w:overflowPunct/>
              <w:topLinePunct w:val="0"/>
              <w:bidi w:val="0"/>
              <w:spacing w:line="420" w:lineRule="exact"/>
              <w:jc w:val="center"/>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309" w:type="dxa"/>
            <w:vMerge w:val="restart"/>
            <w:vAlign w:val="center"/>
          </w:tcPr>
          <w:p>
            <w:pPr>
              <w:keepNext w:val="0"/>
              <w:keepLines w:val="0"/>
              <w:pageBreakBefore w:val="0"/>
              <w:kinsoku/>
              <w:wordWrap/>
              <w:overflowPunct/>
              <w:topLinePunct w:val="0"/>
              <w:bidi w:val="0"/>
              <w:spacing w:line="420" w:lineRule="exact"/>
              <w:jc w:val="center"/>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473" w:type="dxa"/>
            <w:vMerge w:val="restart"/>
            <w:vAlign w:val="center"/>
          </w:tcPr>
          <w:p>
            <w:pPr>
              <w:keepNext w:val="0"/>
              <w:keepLines w:val="0"/>
              <w:pageBreakBefore w:val="0"/>
              <w:kinsoku/>
              <w:wordWrap/>
              <w:overflowPunct/>
              <w:topLinePunct w:val="0"/>
              <w:bidi w:val="0"/>
              <w:spacing w:line="420" w:lineRule="exact"/>
              <w:jc w:val="center"/>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3350" w:type="dxa"/>
            <w:vMerge w:val="restart"/>
            <w:vAlign w:val="center"/>
          </w:tcPr>
          <w:p>
            <w:pPr>
              <w:keepNext w:val="0"/>
              <w:keepLines w:val="0"/>
              <w:pageBreakBefore w:val="0"/>
              <w:kinsoku/>
              <w:wordWrap/>
              <w:overflowPunct/>
              <w:topLinePunct w:val="0"/>
              <w:bidi w:val="0"/>
              <w:spacing w:line="420" w:lineRule="exact"/>
              <w:jc w:val="center"/>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tblHeader/>
          <w:jc w:val="center"/>
        </w:trPr>
        <w:tc>
          <w:tcPr>
            <w:tcW w:w="5128" w:type="dxa"/>
            <w:vMerge w:val="continue"/>
            <w:vAlign w:val="center"/>
          </w:tcPr>
          <w:p>
            <w:pPr>
              <w:keepNext w:val="0"/>
              <w:keepLines w:val="0"/>
              <w:pageBreakBefore w:val="0"/>
              <w:kinsoku/>
              <w:wordWrap/>
              <w:overflowPunct/>
              <w:topLinePunct w:val="0"/>
              <w:bidi w:val="0"/>
              <w:spacing w:line="420" w:lineRule="exact"/>
              <w:textAlignment w:val="auto"/>
              <w:outlineLvl w:val="0"/>
              <w:rPr>
                <w:rFonts w:ascii="Times New Roman" w:hAnsi="Times New Roman" w:cs="Times New Roman"/>
                <w:szCs w:val="24"/>
              </w:rPr>
            </w:pPr>
          </w:p>
        </w:tc>
        <w:tc>
          <w:tcPr>
            <w:tcW w:w="1309" w:type="dxa"/>
            <w:vMerge w:val="continue"/>
            <w:vAlign w:val="center"/>
          </w:tcPr>
          <w:p>
            <w:pPr>
              <w:keepNext w:val="0"/>
              <w:keepLines w:val="0"/>
              <w:pageBreakBefore w:val="0"/>
              <w:kinsoku/>
              <w:wordWrap/>
              <w:overflowPunct/>
              <w:topLinePunct w:val="0"/>
              <w:bidi w:val="0"/>
              <w:spacing w:line="420" w:lineRule="exact"/>
              <w:textAlignment w:val="auto"/>
              <w:outlineLvl w:val="0"/>
              <w:rPr>
                <w:rFonts w:ascii="Times New Roman" w:hAnsi="Times New Roman" w:cs="Times New Roman"/>
                <w:szCs w:val="24"/>
              </w:rPr>
            </w:pPr>
          </w:p>
        </w:tc>
        <w:tc>
          <w:tcPr>
            <w:tcW w:w="1473" w:type="dxa"/>
            <w:vMerge w:val="continue"/>
            <w:vAlign w:val="center"/>
          </w:tcPr>
          <w:p>
            <w:pPr>
              <w:keepNext w:val="0"/>
              <w:keepLines w:val="0"/>
              <w:pageBreakBefore w:val="0"/>
              <w:kinsoku/>
              <w:wordWrap/>
              <w:overflowPunct/>
              <w:topLinePunct w:val="0"/>
              <w:bidi w:val="0"/>
              <w:spacing w:line="420" w:lineRule="exact"/>
              <w:textAlignment w:val="auto"/>
              <w:outlineLvl w:val="0"/>
              <w:rPr>
                <w:rFonts w:ascii="Times New Roman" w:hAnsi="Times New Roman" w:cs="Times New Roman"/>
                <w:szCs w:val="24"/>
              </w:rPr>
            </w:pPr>
          </w:p>
        </w:tc>
        <w:tc>
          <w:tcPr>
            <w:tcW w:w="3350" w:type="dxa"/>
            <w:vMerge w:val="continue"/>
            <w:vAlign w:val="center"/>
          </w:tcPr>
          <w:p>
            <w:pPr>
              <w:keepNext w:val="0"/>
              <w:keepLines w:val="0"/>
              <w:pageBreakBefore w:val="0"/>
              <w:kinsoku/>
              <w:wordWrap/>
              <w:overflowPunct/>
              <w:topLinePunct w:val="0"/>
              <w:bidi w:val="0"/>
              <w:spacing w:line="420" w:lineRule="exact"/>
              <w:textAlignment w:val="auto"/>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5128" w:type="dxa"/>
            <w:vAlign w:val="center"/>
          </w:tcPr>
          <w:p>
            <w:pPr>
              <w:keepNext w:val="0"/>
              <w:keepLines w:val="0"/>
              <w:pageBreakBefore w:val="0"/>
              <w:kinsoku/>
              <w:wordWrap/>
              <w:overflowPunct/>
              <w:topLinePunct w:val="0"/>
              <w:bidi w:val="0"/>
              <w:spacing w:line="420" w:lineRule="exact"/>
              <w:textAlignment w:val="auto"/>
              <w:rPr>
                <w:rFonts w:ascii="方正书宋_GBK" w:eastAsia="方正书宋_GBK"/>
              </w:rPr>
            </w:pPr>
            <w:r>
              <w:rPr>
                <w:rFonts w:hint="eastAsia" w:ascii="方正书宋_GBK" w:eastAsia="方正书宋_GBK"/>
              </w:rPr>
              <w:t>承德高新区退役军人管理服务中心</w:t>
            </w:r>
          </w:p>
        </w:tc>
        <w:tc>
          <w:tcPr>
            <w:tcW w:w="1309" w:type="dxa"/>
            <w:vAlign w:val="center"/>
          </w:tcPr>
          <w:p>
            <w:pPr>
              <w:keepNext w:val="0"/>
              <w:keepLines w:val="0"/>
              <w:pageBreakBefore w:val="0"/>
              <w:kinsoku/>
              <w:wordWrap/>
              <w:overflowPunct/>
              <w:topLinePunct w:val="0"/>
              <w:bidi w:val="0"/>
              <w:spacing w:line="420" w:lineRule="exact"/>
              <w:jc w:val="center"/>
              <w:textAlignment w:val="auto"/>
              <w:rPr>
                <w:rFonts w:ascii="方正书宋_GBK" w:eastAsia="方正书宋_GBK"/>
              </w:rPr>
            </w:pPr>
            <w:r>
              <w:rPr>
                <w:rFonts w:hint="eastAsia" w:ascii="方正书宋_GBK" w:eastAsia="方正书宋_GBK"/>
              </w:rPr>
              <w:t>事业</w:t>
            </w:r>
          </w:p>
        </w:tc>
        <w:tc>
          <w:tcPr>
            <w:tcW w:w="1473" w:type="dxa"/>
            <w:vAlign w:val="center"/>
          </w:tcPr>
          <w:p>
            <w:pPr>
              <w:keepNext w:val="0"/>
              <w:keepLines w:val="0"/>
              <w:pageBreakBefore w:val="0"/>
              <w:kinsoku/>
              <w:wordWrap/>
              <w:overflowPunct/>
              <w:topLinePunct w:val="0"/>
              <w:bidi w:val="0"/>
              <w:spacing w:line="420" w:lineRule="exact"/>
              <w:jc w:val="center"/>
              <w:textAlignment w:val="auto"/>
              <w:rPr>
                <w:rFonts w:ascii="方正书宋_GBK" w:eastAsia="方正书宋_GBK"/>
              </w:rPr>
            </w:pPr>
            <w:r>
              <w:rPr>
                <w:rFonts w:hint="eastAsia" w:ascii="方正书宋_GBK" w:eastAsia="方正书宋_GBK"/>
              </w:rPr>
              <w:t>科级</w:t>
            </w:r>
          </w:p>
        </w:tc>
        <w:tc>
          <w:tcPr>
            <w:tcW w:w="3350" w:type="dxa"/>
            <w:vAlign w:val="center"/>
          </w:tcPr>
          <w:p>
            <w:pPr>
              <w:keepNext w:val="0"/>
              <w:keepLines w:val="0"/>
              <w:pageBreakBefore w:val="0"/>
              <w:kinsoku/>
              <w:wordWrap/>
              <w:overflowPunct/>
              <w:topLinePunct w:val="0"/>
              <w:bidi w:val="0"/>
              <w:spacing w:line="420" w:lineRule="exact"/>
              <w:jc w:val="center"/>
              <w:textAlignment w:val="auto"/>
              <w:rPr>
                <w:rFonts w:ascii="方正书宋_GBK" w:eastAsia="方正书宋_GBK"/>
              </w:rPr>
            </w:pPr>
            <w:r>
              <w:rPr>
                <w:rFonts w:hint="eastAsia" w:ascii="方正书宋_GBK" w:eastAsia="方正书宋_GBK"/>
              </w:rPr>
              <w:t>财政拨款</w:t>
            </w:r>
          </w:p>
        </w:tc>
      </w:tr>
    </w:tbl>
    <w:p>
      <w:pPr>
        <w:keepNext w:val="0"/>
        <w:keepLines w:val="0"/>
        <w:pageBreakBefore w:val="0"/>
        <w:widowControl/>
        <w:kinsoku/>
        <w:wordWrap/>
        <w:overflowPunct/>
        <w:topLinePunct w:val="0"/>
        <w:bidi w:val="0"/>
        <w:snapToGrid w:val="0"/>
        <w:spacing w:line="420" w:lineRule="exact"/>
        <w:ind w:firstLine="560"/>
        <w:textAlignment w:val="auto"/>
        <w:rPr>
          <w:rFonts w:cs="宋体"/>
          <w:sz w:val="28"/>
          <w:szCs w:val="28"/>
        </w:rPr>
      </w:pPr>
      <w:r>
        <w:rPr>
          <w:rFonts w:hint="eastAsia"/>
          <w:sz w:val="32"/>
          <w:szCs w:val="32"/>
        </w:rPr>
        <w:t xml:space="preserve">  </w:t>
      </w:r>
    </w:p>
    <w:p>
      <w:pPr>
        <w:keepNext w:val="0"/>
        <w:keepLines w:val="0"/>
        <w:pageBreakBefore w:val="0"/>
        <w:kinsoku/>
        <w:wordWrap/>
        <w:overflowPunct/>
        <w:topLinePunct w:val="0"/>
        <w:bidi w:val="0"/>
        <w:spacing w:line="420" w:lineRule="exact"/>
        <w:ind w:firstLine="640"/>
        <w:textAlignment w:val="auto"/>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keepNext w:val="0"/>
        <w:keepLines w:val="0"/>
        <w:pageBreakBefore w:val="0"/>
        <w:kinsoku/>
        <w:wordWrap/>
        <w:overflowPunct/>
        <w:topLinePunct w:val="0"/>
        <w:bidi w:val="0"/>
        <w:spacing w:line="420" w:lineRule="exact"/>
        <w:ind w:firstLine="640"/>
        <w:jc w:val="left"/>
        <w:textAlignment w:val="auto"/>
        <w:rPr>
          <w:rFonts w:hint="eastAsia" w:ascii="仿宋" w:hAnsi="仿宋" w:eastAsia="仿宋" w:cs="仿宋"/>
          <w:b w:val="0"/>
          <w:bCs w:val="0"/>
          <w:sz w:val="32"/>
          <w:szCs w:val="32"/>
        </w:rPr>
      </w:pPr>
      <w:r>
        <w:rPr>
          <w:rFonts w:hint="eastAsia" w:ascii="Times New Roman" w:hAnsi="Times New Roman" w:eastAsia="仿宋" w:cs="Times New Roman"/>
          <w:sz w:val="32"/>
          <w:szCs w:val="32"/>
        </w:rPr>
        <w:t xml:space="preserve"> </w:t>
      </w:r>
      <w:r>
        <w:rPr>
          <w:rFonts w:hint="eastAsia" w:ascii="仿宋" w:hAnsi="仿宋" w:eastAsia="仿宋" w:cs="仿宋"/>
          <w:b w:val="0"/>
          <w:bCs w:val="0"/>
          <w:kern w:val="0"/>
          <w:sz w:val="32"/>
          <w:szCs w:val="32"/>
        </w:rPr>
        <w:t>我单位为一级预算单位，无下属单位。预算单位为</w:t>
      </w:r>
      <w:r>
        <w:rPr>
          <w:rFonts w:hint="eastAsia" w:ascii="仿宋" w:hAnsi="仿宋" w:eastAsia="仿宋" w:cs="仿宋"/>
          <w:b w:val="0"/>
          <w:bCs w:val="0"/>
          <w:kern w:val="0"/>
          <w:sz w:val="32"/>
          <w:szCs w:val="32"/>
          <w:lang w:eastAsia="zh-CN"/>
        </w:rPr>
        <w:t>退役军人管理服务中心</w:t>
      </w:r>
      <w:r>
        <w:rPr>
          <w:rFonts w:hint="eastAsia" w:ascii="仿宋" w:hAnsi="仿宋" w:eastAsia="仿宋" w:cs="仿宋"/>
          <w:b w:val="0"/>
          <w:bCs w:val="0"/>
          <w:kern w:val="0"/>
          <w:sz w:val="32"/>
          <w:szCs w:val="32"/>
        </w:rPr>
        <w:t>本级预算，不包含下属单位预算。</w:t>
      </w:r>
      <w:r>
        <w:rPr>
          <w:rFonts w:hint="eastAsia" w:ascii="仿宋" w:hAnsi="仿宋" w:eastAsia="仿宋" w:cs="仿宋"/>
          <w:b w:val="0"/>
          <w:bCs w:val="0"/>
          <w:sz w:val="32"/>
          <w:szCs w:val="32"/>
        </w:rPr>
        <w:t>按照预算管理有关规定，现将我中心收入和支出预算公开如下：</w:t>
      </w:r>
    </w:p>
    <w:p>
      <w:pPr>
        <w:keepNext w:val="0"/>
        <w:keepLines w:val="0"/>
        <w:pageBreakBefore w:val="0"/>
        <w:kinsoku/>
        <w:wordWrap/>
        <w:overflowPunct/>
        <w:topLinePunct w:val="0"/>
        <w:bidi w:val="0"/>
        <w:spacing w:line="420" w:lineRule="exact"/>
        <w:ind w:firstLine="640"/>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w:t>
      </w:r>
      <w:r>
        <w:rPr>
          <w:rFonts w:ascii="Times New Roman" w:hAnsi="Times New Roman" w:eastAsia="仿宋" w:cs="Times New Roman"/>
          <w:b/>
          <w:bCs/>
          <w:sz w:val="32"/>
          <w:szCs w:val="32"/>
        </w:rPr>
        <w:t>收入说明</w:t>
      </w:r>
    </w:p>
    <w:p>
      <w:pPr>
        <w:keepNext w:val="0"/>
        <w:keepLines w:val="0"/>
        <w:pageBreakBefore w:val="0"/>
        <w:kinsoku/>
        <w:wordWrap/>
        <w:overflowPunct/>
        <w:topLinePunct w:val="0"/>
        <w:bidi w:val="0"/>
        <w:spacing w:line="42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本部门</w:t>
      </w:r>
      <w:r>
        <w:rPr>
          <w:rFonts w:hint="eastAsia" w:ascii="仿宋_GB2312" w:eastAsia="仿宋_GB2312"/>
          <w:sz w:val="32"/>
          <w:szCs w:val="32"/>
        </w:rPr>
        <w:t>2020年收入预算总计</w:t>
      </w:r>
      <w:r>
        <w:rPr>
          <w:rFonts w:hint="eastAsia" w:ascii="仿宋" w:hAnsi="仿宋" w:eastAsia="仿宋"/>
          <w:color w:val="000000"/>
          <w:kern w:val="0"/>
          <w:sz w:val="32"/>
          <w:szCs w:val="32"/>
        </w:rPr>
        <w:t>1060.54万元，其中：公共财政预算拨款1060.54万元，政府性基金预算拨款</w:t>
      </w:r>
      <w:r>
        <w:rPr>
          <w:rFonts w:ascii="仿宋" w:hAnsi="仿宋" w:eastAsia="仿宋"/>
          <w:color w:val="000000"/>
          <w:kern w:val="0"/>
          <w:sz w:val="32"/>
          <w:szCs w:val="32"/>
        </w:rPr>
        <w:t>0</w:t>
      </w:r>
      <w:r>
        <w:rPr>
          <w:rFonts w:hint="eastAsia" w:ascii="仿宋" w:hAnsi="仿宋" w:eastAsia="仿宋"/>
          <w:color w:val="000000"/>
          <w:kern w:val="0"/>
          <w:sz w:val="32"/>
          <w:szCs w:val="32"/>
        </w:rPr>
        <w:t>万元</w:t>
      </w:r>
      <w:r>
        <w:rPr>
          <w:rFonts w:hint="eastAsia" w:ascii="Times New Roman" w:hAnsi="Times New Roman" w:eastAsia="仿宋" w:cs="Times New Roman"/>
          <w:sz w:val="32"/>
          <w:szCs w:val="32"/>
        </w:rPr>
        <w:t>。</w:t>
      </w:r>
    </w:p>
    <w:p>
      <w:pPr>
        <w:keepNext w:val="0"/>
        <w:keepLines w:val="0"/>
        <w:pageBreakBefore w:val="0"/>
        <w:kinsoku/>
        <w:wordWrap/>
        <w:overflowPunct/>
        <w:topLinePunct w:val="0"/>
        <w:bidi w:val="0"/>
        <w:spacing w:line="420" w:lineRule="exact"/>
        <w:ind w:firstLine="640"/>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（二）支出说明</w:t>
      </w:r>
    </w:p>
    <w:p>
      <w:pPr>
        <w:keepNext w:val="0"/>
        <w:keepLines w:val="0"/>
        <w:pageBreakBefore w:val="0"/>
        <w:kinsoku/>
        <w:wordWrap/>
        <w:overflowPunct/>
        <w:topLinePunct w:val="0"/>
        <w:bidi w:val="0"/>
        <w:spacing w:line="420" w:lineRule="exact"/>
        <w:ind w:firstLine="640"/>
        <w:textAlignment w:val="auto"/>
        <w:rPr>
          <w:rFonts w:ascii="仿宋" w:hAnsi="仿宋" w:eastAsia="仿宋" w:cs="Times New Roman"/>
          <w:sz w:val="32"/>
          <w:szCs w:val="32"/>
        </w:rPr>
      </w:pPr>
      <w:r>
        <w:rPr>
          <w:rFonts w:hint="eastAsia" w:ascii="Times New Roman" w:hAnsi="Times New Roman" w:eastAsia="仿宋" w:cs="Times New Roman"/>
          <w:sz w:val="32"/>
          <w:szCs w:val="32"/>
        </w:rPr>
        <w:t>收支预算总表支出表、基本支出表、项目支出表按经济分类和支出功能分类科目编制，反映承德高新区退役军人管理服务中心年度部门预算中支出预算的总体情况。</w:t>
      </w:r>
      <w:r>
        <w:rPr>
          <w:rFonts w:ascii="仿宋" w:hAnsi="仿宋" w:eastAsia="仿宋"/>
          <w:color w:val="000000"/>
          <w:kern w:val="0"/>
          <w:sz w:val="32"/>
          <w:szCs w:val="32"/>
        </w:rPr>
        <w:t>20</w:t>
      </w:r>
      <w:r>
        <w:rPr>
          <w:rFonts w:hint="eastAsia" w:ascii="仿宋" w:hAnsi="仿宋" w:eastAsia="仿宋"/>
          <w:color w:val="000000"/>
          <w:kern w:val="0"/>
          <w:sz w:val="32"/>
          <w:szCs w:val="32"/>
        </w:rPr>
        <w:t>20年度预算支出总计106</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.54万元。其中</w:t>
      </w:r>
      <w:r>
        <w:rPr>
          <w:rFonts w:ascii="仿宋" w:hAnsi="仿宋" w:eastAsia="仿宋"/>
          <w:color w:val="000000"/>
          <w:kern w:val="0"/>
          <w:sz w:val="32"/>
          <w:szCs w:val="32"/>
        </w:rPr>
        <w:t>:</w:t>
      </w:r>
      <w:r>
        <w:rPr>
          <w:rFonts w:hint="eastAsia" w:ascii="仿宋" w:hAnsi="仿宋" w:eastAsia="仿宋"/>
          <w:color w:val="000000"/>
          <w:kern w:val="0"/>
          <w:sz w:val="32"/>
          <w:szCs w:val="32"/>
        </w:rPr>
        <w:t>基本支出72.49万元，</w:t>
      </w:r>
      <w:r>
        <w:rPr>
          <w:rFonts w:hint="eastAsia" w:ascii="Times New Roman" w:hAnsi="Times New Roman" w:eastAsia="仿宋" w:cs="Times New Roman"/>
          <w:sz w:val="32"/>
          <w:szCs w:val="32"/>
        </w:rPr>
        <w:t>包括人员经费63.85万元和日常公用经费8.64万元</w:t>
      </w:r>
      <w:r>
        <w:rPr>
          <w:rFonts w:hint="eastAsia" w:ascii="仿宋" w:hAnsi="仿宋" w:eastAsia="仿宋"/>
          <w:color w:val="000000"/>
          <w:kern w:val="0"/>
          <w:sz w:val="32"/>
          <w:szCs w:val="32"/>
        </w:rPr>
        <w:t>；项目支出988.05万元，</w:t>
      </w:r>
      <w:r>
        <w:rPr>
          <w:rFonts w:hint="eastAsia" w:ascii="Times New Roman" w:hAnsi="Times New Roman" w:eastAsia="仿宋" w:cs="Times New Roman"/>
          <w:sz w:val="32"/>
          <w:szCs w:val="32"/>
        </w:rPr>
        <w:t>主要为优抚对象生活补助108万元，退役士兵一次性经济补助210万元，一次性抚恤金50万元，伤残军人护理费7万元，退役士兵待安置期间接续基本保险5万元，现役军人立功受奖奖励金1.65万元，退役军人慰问金（八一、春节慰问资金）42万元；信访接访资金35万元，职业技能培训费9.4万元，优抚对象医疗保障经费20万元，退役军人关爱基金500万元。</w:t>
      </w:r>
    </w:p>
    <w:p>
      <w:pPr>
        <w:autoSpaceDE w:val="0"/>
        <w:autoSpaceDN w:val="0"/>
        <w:adjustRightInd w:val="0"/>
        <w:ind w:left="198" w:firstLine="443" w:firstLineChars="138"/>
        <w:jc w:val="left"/>
        <w:rPr>
          <w:rFonts w:hint="eastAsia" w:ascii="Times New Roman" w:hAnsi="Times New Roman" w:eastAsia="仿宋" w:cs="Times New Roman"/>
          <w:b/>
          <w:sz w:val="32"/>
          <w:szCs w:val="32"/>
        </w:rPr>
      </w:pPr>
      <w:r>
        <w:rPr>
          <w:rFonts w:hint="eastAsia" w:ascii="Times New Roman" w:hAnsi="Times New Roman" w:eastAsia="仿宋" w:cs="Times New Roman"/>
          <w:b/>
          <w:sz w:val="32"/>
          <w:szCs w:val="32"/>
        </w:rPr>
        <w:t xml:space="preserve">（三）比上年增减情况 </w:t>
      </w:r>
    </w:p>
    <w:p>
      <w:pPr>
        <w:keepNext w:val="0"/>
        <w:keepLines w:val="0"/>
        <w:pageBreakBefore w:val="0"/>
        <w:kinsoku/>
        <w:wordWrap/>
        <w:overflowPunct/>
        <w:topLinePunct w:val="0"/>
        <w:bidi w:val="0"/>
        <w:spacing w:line="42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2020年，本部门预算收支安排1060.54万元，较2019年减少257.43万元，其中：1.基本支出增加了47.59万元，主要原因：2020年人员</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rPr>
        <w:t>工资增长，故人员各项经费均相应增长。2.项目支出减少了</w:t>
      </w:r>
      <w:r>
        <w:rPr>
          <w:rFonts w:hint="eastAsia" w:ascii="Times New Roman" w:hAnsi="Times New Roman" w:eastAsia="仿宋" w:cs="Times New Roman"/>
          <w:sz w:val="32"/>
          <w:szCs w:val="32"/>
          <w:lang w:val="en-US" w:eastAsia="zh-CN"/>
        </w:rPr>
        <w:t>305.02</w:t>
      </w:r>
      <w:r>
        <w:rPr>
          <w:rFonts w:hint="eastAsia" w:ascii="Times New Roman" w:hAnsi="Times New Roman" w:eastAsia="仿宋" w:cs="Times New Roman"/>
          <w:sz w:val="32"/>
          <w:szCs w:val="32"/>
        </w:rPr>
        <w:t>万元，主要原因 ：本年度减少了</w:t>
      </w:r>
      <w:r>
        <w:rPr>
          <w:rFonts w:hint="eastAsia" w:ascii="Times New Roman" w:hAnsi="Times New Roman" w:eastAsia="仿宋" w:cs="Times New Roman"/>
          <w:sz w:val="32"/>
          <w:szCs w:val="32"/>
          <w:lang w:eastAsia="zh-CN"/>
        </w:rPr>
        <w:t>上级拨付</w:t>
      </w:r>
      <w:r>
        <w:rPr>
          <w:rFonts w:hint="eastAsia" w:ascii="Times New Roman" w:hAnsi="Times New Roman" w:eastAsia="仿宋" w:cs="Times New Roman"/>
          <w:sz w:val="32"/>
          <w:szCs w:val="32"/>
        </w:rPr>
        <w:t>专项及创元代理记账服务专项。</w:t>
      </w:r>
    </w:p>
    <w:p>
      <w:pPr>
        <w:keepNext w:val="0"/>
        <w:keepLines w:val="0"/>
        <w:pageBreakBefore w:val="0"/>
        <w:numPr>
          <w:ilvl w:val="0"/>
          <w:numId w:val="2"/>
        </w:numPr>
        <w:kinsoku/>
        <w:wordWrap/>
        <w:overflowPunct/>
        <w:topLinePunct w:val="0"/>
        <w:autoSpaceDE w:val="0"/>
        <w:autoSpaceDN w:val="0"/>
        <w:bidi w:val="0"/>
        <w:adjustRightInd w:val="0"/>
        <w:spacing w:line="420" w:lineRule="exact"/>
        <w:jc w:val="left"/>
        <w:textAlignment w:val="auto"/>
        <w:rPr>
          <w:rFonts w:ascii="黑体" w:hAnsi="黑体" w:eastAsia="黑体" w:cs="Times New Roman"/>
          <w:sz w:val="32"/>
          <w:szCs w:val="32"/>
        </w:rPr>
      </w:pPr>
      <w:r>
        <w:rPr>
          <w:rFonts w:hint="eastAsia" w:ascii="黑体" w:hAnsi="黑体" w:eastAsia="黑体" w:cs="Times New Roman"/>
          <w:sz w:val="32"/>
          <w:szCs w:val="32"/>
        </w:rPr>
        <w:t>机关运行经费安排情况</w:t>
      </w:r>
    </w:p>
    <w:p>
      <w:pPr>
        <w:keepNext w:val="0"/>
        <w:keepLines w:val="0"/>
        <w:pageBreakBefore w:val="0"/>
        <w:kinsoku/>
        <w:wordWrap/>
        <w:overflowPunct/>
        <w:topLinePunct w:val="0"/>
        <w:autoSpaceDE w:val="0"/>
        <w:autoSpaceDN w:val="0"/>
        <w:bidi w:val="0"/>
        <w:adjustRightInd w:val="0"/>
        <w:spacing w:line="420" w:lineRule="exact"/>
        <w:ind w:firstLine="838" w:firstLineChars="262"/>
        <w:jc w:val="left"/>
        <w:textAlignment w:val="auto"/>
        <w:rPr>
          <w:rFonts w:ascii="仿宋" w:hAnsi="仿宋" w:eastAsia="仿宋" w:cs="宋体"/>
          <w:kern w:val="0"/>
          <w:sz w:val="32"/>
          <w:szCs w:val="32"/>
        </w:rPr>
      </w:pPr>
      <w:r>
        <w:rPr>
          <w:rFonts w:hint="eastAsia" w:ascii="仿宋" w:hAnsi="仿宋" w:eastAsia="仿宋" w:cs="宋体"/>
          <w:kern w:val="0"/>
          <w:sz w:val="32"/>
          <w:szCs w:val="32"/>
        </w:rPr>
        <w:t>机关运行经费预算安排</w:t>
      </w:r>
      <w:r>
        <w:rPr>
          <w:rFonts w:hint="eastAsia" w:ascii="仿宋" w:hAnsi="仿宋" w:eastAsia="仿宋" w:cs="宋体"/>
          <w:sz w:val="32"/>
          <w:szCs w:val="32"/>
          <w:u w:val="none"/>
        </w:rPr>
        <w:t>8.64</w:t>
      </w:r>
      <w:r>
        <w:rPr>
          <w:rFonts w:hint="eastAsia" w:ascii="仿宋" w:hAnsi="仿宋" w:eastAsia="仿宋" w:cs="宋体"/>
          <w:sz w:val="32"/>
          <w:szCs w:val="32"/>
        </w:rPr>
        <w:t>万</w:t>
      </w:r>
      <w:r>
        <w:rPr>
          <w:rFonts w:hint="eastAsia" w:ascii="仿宋" w:hAnsi="仿宋" w:eastAsia="仿宋" w:cs="宋体"/>
          <w:kern w:val="0"/>
          <w:sz w:val="32"/>
          <w:szCs w:val="32"/>
        </w:rPr>
        <w:t xml:space="preserve">元。其中办公费1万元、邮电费0.62万元、取暖费0.19万元、差旅费1.4万元、公务接待费0.03万元、工会经费0.67万元、福利费0.45万元、其它交通费用4.28万元。 </w:t>
      </w:r>
    </w:p>
    <w:p>
      <w:pPr>
        <w:keepNext w:val="0"/>
        <w:keepLines w:val="0"/>
        <w:pageBreakBefore w:val="0"/>
        <w:numPr>
          <w:ilvl w:val="0"/>
          <w:numId w:val="2"/>
        </w:numPr>
        <w:kinsoku/>
        <w:wordWrap/>
        <w:overflowPunct/>
        <w:topLinePunct w:val="0"/>
        <w:autoSpaceDE w:val="0"/>
        <w:autoSpaceDN w:val="0"/>
        <w:bidi w:val="0"/>
        <w:adjustRightInd w:val="0"/>
        <w:spacing w:line="420" w:lineRule="exact"/>
        <w:jc w:val="left"/>
        <w:textAlignment w:val="auto"/>
        <w:rPr>
          <w:rFonts w:ascii="黑体" w:hAnsi="黑体" w:eastAsia="黑体" w:cs="Times New Roman"/>
          <w:sz w:val="32"/>
          <w:szCs w:val="32"/>
        </w:rPr>
      </w:pPr>
      <w:r>
        <w:rPr>
          <w:rFonts w:hint="eastAsia" w:ascii="黑体" w:hAnsi="黑体" w:eastAsia="黑体" w:cs="Times New Roman"/>
          <w:sz w:val="32"/>
          <w:szCs w:val="32"/>
        </w:rPr>
        <w:t>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kinsoku/>
        <w:wordWrap/>
        <w:overflowPunct/>
        <w:topLinePunct w:val="0"/>
        <w:bidi w:val="0"/>
        <w:spacing w:line="420" w:lineRule="exact"/>
        <w:ind w:firstLine="800" w:firstLineChars="250"/>
        <w:textAlignment w:val="auto"/>
        <w:rPr>
          <w:rFonts w:ascii="仿宋" w:hAnsi="仿宋" w:eastAsia="仿宋"/>
          <w:sz w:val="32"/>
          <w:szCs w:val="32"/>
        </w:rPr>
      </w:pPr>
      <w:r>
        <w:rPr>
          <w:rFonts w:hint="eastAsia" w:ascii="Times New Roman" w:hAnsi="Times New Roman" w:eastAsia="仿宋" w:cs="Times New Roman"/>
          <w:sz w:val="32"/>
          <w:szCs w:val="32"/>
        </w:rPr>
        <w:t>2020年，财政拨款“三公”经费预算安排</w:t>
      </w:r>
      <w:r>
        <w:rPr>
          <w:rFonts w:hint="eastAsia" w:ascii="Times New Roman" w:hAnsi="Times New Roman" w:eastAsia="仿宋" w:cs="Times New Roman"/>
          <w:sz w:val="32"/>
          <w:szCs w:val="32"/>
          <w:u w:val="single"/>
        </w:rPr>
        <w:t>0.03</w:t>
      </w:r>
      <w:r>
        <w:rPr>
          <w:rFonts w:hint="eastAsia" w:ascii="Times New Roman" w:hAnsi="Times New Roman" w:eastAsia="仿宋" w:cs="Times New Roman"/>
          <w:sz w:val="32"/>
          <w:szCs w:val="32"/>
        </w:rPr>
        <w:t>万元，其中：因公出国（境）费0万元；公务用车购置及运维费0万元（其中：公务用车运行维护费0万元，公务用车购置费0万元)；公务接待费0.03万元。</w:t>
      </w:r>
      <w:r>
        <w:rPr>
          <w:rFonts w:hint="eastAsia" w:ascii="仿宋" w:hAnsi="仿宋" w:eastAsia="仿宋" w:cs="Times New Roman"/>
          <w:sz w:val="32"/>
          <w:szCs w:val="32"/>
        </w:rPr>
        <w:t>我单位2019年</w:t>
      </w:r>
      <w:r>
        <w:rPr>
          <w:rFonts w:hint="eastAsia" w:ascii="Times New Roman" w:hAnsi="Times New Roman" w:eastAsia="仿宋" w:cs="Times New Roman"/>
          <w:sz w:val="32"/>
          <w:szCs w:val="32"/>
        </w:rPr>
        <w:t>财政拨款“三公”经费预算安排</w:t>
      </w:r>
      <w:r>
        <w:rPr>
          <w:rFonts w:hint="eastAsia" w:ascii="Times New Roman" w:hAnsi="Times New Roman" w:eastAsia="仿宋" w:cs="Times New Roman"/>
          <w:sz w:val="32"/>
          <w:szCs w:val="32"/>
          <w:u w:val="single"/>
        </w:rPr>
        <w:t>0.09</w:t>
      </w:r>
      <w:r>
        <w:rPr>
          <w:rFonts w:hint="eastAsia" w:ascii="Times New Roman" w:hAnsi="Times New Roman" w:eastAsia="仿宋" w:cs="Times New Roman"/>
          <w:sz w:val="32"/>
          <w:szCs w:val="32"/>
        </w:rPr>
        <w:t>万元，比去年减少0.06万元</w:t>
      </w:r>
      <w:r>
        <w:rPr>
          <w:rFonts w:hint="eastAsia" w:ascii="仿宋" w:hAnsi="仿宋" w:eastAsia="仿宋" w:cs="Times New Roman"/>
          <w:sz w:val="32"/>
          <w:szCs w:val="32"/>
        </w:rPr>
        <w:t>。</w:t>
      </w:r>
    </w:p>
    <w:p>
      <w:pPr>
        <w:keepNext w:val="0"/>
        <w:keepLines w:val="0"/>
        <w:pageBreakBefore w:val="0"/>
        <w:numPr>
          <w:ilvl w:val="0"/>
          <w:numId w:val="2"/>
        </w:numPr>
        <w:kinsoku/>
        <w:wordWrap/>
        <w:overflowPunct/>
        <w:topLinePunct w:val="0"/>
        <w:autoSpaceDE w:val="0"/>
        <w:autoSpaceDN w:val="0"/>
        <w:bidi w:val="0"/>
        <w:adjustRightInd w:val="0"/>
        <w:spacing w:line="420" w:lineRule="exact"/>
        <w:jc w:val="left"/>
        <w:textAlignment w:val="auto"/>
        <w:rPr>
          <w:rFonts w:ascii="黑体" w:hAnsi="黑体" w:eastAsia="黑体" w:cs="Times New Roman"/>
          <w:sz w:val="32"/>
          <w:szCs w:val="32"/>
        </w:rPr>
      </w:pPr>
      <w:r>
        <w:rPr>
          <w:rFonts w:hint="eastAsia" w:ascii="黑体" w:hAnsi="黑体" w:eastAsia="黑体" w:cs="Times New Roman"/>
          <w:sz w:val="32"/>
          <w:szCs w:val="32"/>
        </w:rPr>
        <w:t>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kinsoku/>
        <w:wordWrap/>
        <w:overflowPunct/>
        <w:topLinePunct w:val="0"/>
        <w:bidi w:val="0"/>
        <w:spacing w:line="420" w:lineRule="exact"/>
        <w:ind w:firstLine="800" w:firstLineChars="25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2020年，本部门财政拨款“三公”经费预算安排</w:t>
      </w:r>
      <w:r>
        <w:rPr>
          <w:rFonts w:hint="eastAsia" w:ascii="仿宋" w:hAnsi="仿宋" w:eastAsia="仿宋" w:cs="宋体"/>
          <w:sz w:val="32"/>
          <w:szCs w:val="32"/>
          <w:u w:val="single"/>
          <w:lang w:val="en-US" w:eastAsia="zh-CN"/>
        </w:rPr>
        <w:t>0.03</w:t>
      </w:r>
      <w:r>
        <w:rPr>
          <w:rFonts w:hint="eastAsia" w:ascii="仿宋" w:hAnsi="仿宋" w:eastAsia="仿宋" w:cs="宋体"/>
          <w:sz w:val="32"/>
          <w:szCs w:val="32"/>
          <w:u w:val="single"/>
        </w:rPr>
        <w:t xml:space="preserve"> </w:t>
      </w:r>
      <w:r>
        <w:rPr>
          <w:rFonts w:hint="eastAsia" w:ascii="Times New Roman" w:hAnsi="Times New Roman" w:eastAsia="仿宋" w:cs="Times New Roman"/>
          <w:sz w:val="32"/>
          <w:szCs w:val="32"/>
        </w:rPr>
        <w:t>万元，其中：因公出国（境）费0万元；公务用车购置及运维费0万元（其中：公务用车运行维护费0万元，公务用车购置费0万元)；公务接待费</w:t>
      </w:r>
      <w:r>
        <w:rPr>
          <w:rFonts w:hint="eastAsia" w:ascii="Times New Roman" w:hAnsi="Times New Roman" w:eastAsia="仿宋" w:cs="Times New Roman"/>
          <w:sz w:val="32"/>
          <w:szCs w:val="32"/>
          <w:lang w:val="en-US" w:eastAsia="zh-CN"/>
        </w:rPr>
        <w:t>0.03</w:t>
      </w:r>
      <w:r>
        <w:rPr>
          <w:rFonts w:hint="eastAsia" w:ascii="Times New Roman" w:hAnsi="Times New Roman" w:eastAsia="仿宋" w:cs="Times New Roman"/>
          <w:sz w:val="32"/>
          <w:szCs w:val="32"/>
        </w:rPr>
        <w:t>万元，会议费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万元，培训费0万元。“三公”经费与上年度预算对比，</w:t>
      </w:r>
      <w:r>
        <w:rPr>
          <w:rFonts w:hint="eastAsia" w:ascii="Times New Roman" w:hAnsi="Times New Roman" w:eastAsia="仿宋" w:cs="Times New Roman"/>
          <w:sz w:val="32"/>
          <w:szCs w:val="32"/>
          <w:lang w:eastAsia="zh-CN"/>
        </w:rPr>
        <w:t>减少</w:t>
      </w:r>
      <w:r>
        <w:rPr>
          <w:rFonts w:hint="eastAsia" w:ascii="Times New Roman" w:hAnsi="Times New Roman" w:eastAsia="仿宋" w:cs="Times New Roman"/>
          <w:sz w:val="32"/>
          <w:szCs w:val="32"/>
        </w:rPr>
        <w:t>了</w:t>
      </w:r>
      <w:r>
        <w:rPr>
          <w:rFonts w:hint="eastAsia" w:ascii="Times New Roman" w:hAnsi="Times New Roman" w:eastAsia="仿宋" w:cs="Times New Roman"/>
          <w:sz w:val="32"/>
          <w:szCs w:val="32"/>
          <w:lang w:val="en-US" w:eastAsia="zh-CN"/>
        </w:rPr>
        <w:t>0.06万元</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增减变化情况详见下表：</w:t>
      </w:r>
    </w:p>
    <w:tbl>
      <w:tblPr>
        <w:tblStyle w:val="9"/>
        <w:tblW w:w="14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2"/>
        <w:gridCol w:w="1844"/>
        <w:gridCol w:w="2446"/>
        <w:gridCol w:w="1590"/>
        <w:gridCol w:w="2550"/>
        <w:gridCol w:w="1963"/>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2152"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项目</w:t>
            </w:r>
          </w:p>
        </w:tc>
        <w:tc>
          <w:tcPr>
            <w:tcW w:w="1844"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合计</w:t>
            </w:r>
          </w:p>
        </w:tc>
        <w:tc>
          <w:tcPr>
            <w:tcW w:w="2446"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因公出国出境（万元）</w:t>
            </w:r>
          </w:p>
        </w:tc>
        <w:tc>
          <w:tcPr>
            <w:tcW w:w="159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公务用车购置及运维费</w:t>
            </w:r>
          </w:p>
        </w:tc>
        <w:tc>
          <w:tcPr>
            <w:tcW w:w="255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公务接待费（万元）</w:t>
            </w:r>
          </w:p>
        </w:tc>
        <w:tc>
          <w:tcPr>
            <w:tcW w:w="1963"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会议费</w:t>
            </w:r>
          </w:p>
        </w:tc>
        <w:tc>
          <w:tcPr>
            <w:tcW w:w="162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培训费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52"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2019年预算数据</w:t>
            </w:r>
          </w:p>
        </w:tc>
        <w:tc>
          <w:tcPr>
            <w:tcW w:w="1844"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0.09</w:t>
            </w:r>
          </w:p>
        </w:tc>
        <w:tc>
          <w:tcPr>
            <w:tcW w:w="2446"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59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c>
          <w:tcPr>
            <w:tcW w:w="2550"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0.09</w:t>
            </w:r>
          </w:p>
        </w:tc>
        <w:tc>
          <w:tcPr>
            <w:tcW w:w="1963"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62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152"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2020年预算数据</w:t>
            </w:r>
          </w:p>
        </w:tc>
        <w:tc>
          <w:tcPr>
            <w:tcW w:w="1844"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0.03</w:t>
            </w:r>
          </w:p>
        </w:tc>
        <w:tc>
          <w:tcPr>
            <w:tcW w:w="2446"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c>
          <w:tcPr>
            <w:tcW w:w="159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c>
          <w:tcPr>
            <w:tcW w:w="2550"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0.03</w:t>
            </w:r>
          </w:p>
        </w:tc>
        <w:tc>
          <w:tcPr>
            <w:tcW w:w="1963"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62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2152"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增减率（%）</w:t>
            </w:r>
          </w:p>
        </w:tc>
        <w:tc>
          <w:tcPr>
            <w:tcW w:w="1844"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00%</w:t>
            </w:r>
          </w:p>
        </w:tc>
        <w:tc>
          <w:tcPr>
            <w:tcW w:w="2446"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59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c>
          <w:tcPr>
            <w:tcW w:w="2550" w:type="dxa"/>
          </w:tcPr>
          <w:p>
            <w:pPr>
              <w:keepNext w:val="0"/>
              <w:keepLines w:val="0"/>
              <w:pageBreakBefore w:val="0"/>
              <w:kinsoku/>
              <w:wordWrap/>
              <w:overflowPunct/>
              <w:topLinePunct w:val="0"/>
              <w:bidi w:val="0"/>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w:t>
            </w:r>
          </w:p>
        </w:tc>
        <w:tc>
          <w:tcPr>
            <w:tcW w:w="1963"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c>
          <w:tcPr>
            <w:tcW w:w="1620"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24"/>
                <w:szCs w:val="24"/>
              </w:rPr>
            </w:pPr>
            <w:r>
              <w:rPr>
                <w:rFonts w:hint="eastAsia" w:ascii="仿宋" w:hAnsi="仿宋" w:eastAsia="仿宋" w:cs="仿宋"/>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2152" w:type="dxa"/>
          </w:tcPr>
          <w:p>
            <w:pPr>
              <w:keepNext w:val="0"/>
              <w:keepLines w:val="0"/>
              <w:pageBreakBefore w:val="0"/>
              <w:kinsoku/>
              <w:wordWrap/>
              <w:overflowPunct/>
              <w:topLinePunct w:val="0"/>
              <w:bidi w:val="0"/>
              <w:spacing w:line="420" w:lineRule="exact"/>
              <w:jc w:val="center"/>
              <w:textAlignment w:val="auto"/>
              <w:rPr>
                <w:rFonts w:ascii="仿宋" w:hAnsi="仿宋" w:eastAsia="仿宋" w:cs="仿宋"/>
                <w:sz w:val="18"/>
                <w:szCs w:val="18"/>
              </w:rPr>
            </w:pPr>
            <w:r>
              <w:rPr>
                <w:rFonts w:hint="eastAsia" w:ascii="仿宋" w:hAnsi="仿宋" w:eastAsia="仿宋" w:cs="仿宋"/>
                <w:sz w:val="24"/>
                <w:szCs w:val="24"/>
              </w:rPr>
              <w:t>增减变化原因说明</w:t>
            </w:r>
          </w:p>
        </w:tc>
        <w:tc>
          <w:tcPr>
            <w:tcW w:w="12013" w:type="dxa"/>
            <w:gridSpan w:val="6"/>
          </w:tcPr>
          <w:p>
            <w:pPr>
              <w:keepNext w:val="0"/>
              <w:keepLines w:val="0"/>
              <w:pageBreakBefore w:val="0"/>
              <w:kinsoku/>
              <w:wordWrap/>
              <w:overflowPunct/>
              <w:topLinePunct w:val="0"/>
              <w:bidi w:val="0"/>
              <w:spacing w:line="420" w:lineRule="exact"/>
              <w:jc w:val="left"/>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因去年未安排公务接待，故今年公务接待费调减。</w:t>
            </w:r>
          </w:p>
        </w:tc>
      </w:tr>
    </w:tbl>
    <w:p>
      <w:pPr>
        <w:keepNext w:val="0"/>
        <w:keepLines w:val="0"/>
        <w:pageBreakBefore w:val="0"/>
        <w:kinsoku/>
        <w:wordWrap/>
        <w:overflowPunct/>
        <w:topLinePunct w:val="0"/>
        <w:bidi w:val="0"/>
        <w:spacing w:line="420" w:lineRule="exact"/>
        <w:ind w:firstLine="800" w:firstLineChars="250"/>
        <w:textAlignment w:val="auto"/>
        <w:rPr>
          <w:rFonts w:ascii="Times New Roman" w:hAnsi="Times New Roman" w:eastAsia="仿宋" w:cs="Times New Roman"/>
          <w:sz w:val="32"/>
          <w:szCs w:val="32"/>
        </w:rPr>
      </w:pPr>
    </w:p>
    <w:p>
      <w:pPr>
        <w:keepNext w:val="0"/>
        <w:keepLines w:val="0"/>
        <w:pageBreakBefore w:val="0"/>
        <w:kinsoku/>
        <w:wordWrap/>
        <w:overflowPunct/>
        <w:topLinePunct w:val="0"/>
        <w:autoSpaceDE w:val="0"/>
        <w:autoSpaceDN w:val="0"/>
        <w:bidi w:val="0"/>
        <w:adjustRightInd w:val="0"/>
        <w:spacing w:line="420" w:lineRule="exact"/>
        <w:ind w:left="198"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val="0"/>
        <w:autoSpaceDN w:val="0"/>
        <w:bidi w:val="0"/>
        <w:adjustRightInd w:val="0"/>
        <w:spacing w:line="420" w:lineRule="exact"/>
        <w:ind w:left="198" w:firstLine="640" w:firstLineChars="200"/>
        <w:jc w:val="left"/>
        <w:textAlignment w:val="auto"/>
        <w:rPr>
          <w:rFonts w:ascii="黑体" w:hAnsi="黑体" w:eastAsia="黑体" w:cs="Times New Roman"/>
          <w:sz w:val="32"/>
          <w:szCs w:val="32"/>
        </w:rPr>
      </w:pPr>
      <w:r>
        <w:rPr>
          <w:rFonts w:hint="eastAsia" w:ascii="仿宋" w:hAnsi="仿宋" w:eastAsia="仿宋"/>
          <w:sz w:val="32"/>
          <w:szCs w:val="32"/>
        </w:rPr>
        <w:t xml:space="preserve"> </w:t>
      </w:r>
      <w:r>
        <w:rPr>
          <w:rFonts w:hint="eastAsia" w:ascii="黑体" w:hAnsi="黑体" w:eastAsia="黑体" w:cs="Times New Roman"/>
          <w:sz w:val="32"/>
          <w:szCs w:val="32"/>
          <w:lang w:eastAsia="zh-CN"/>
        </w:rPr>
        <w:t>六</w:t>
      </w:r>
      <w:r>
        <w:rPr>
          <w:rFonts w:hint="eastAsia" w:ascii="黑体" w:hAnsi="黑体" w:eastAsia="黑体" w:cs="Times New Roman"/>
          <w:sz w:val="32"/>
          <w:szCs w:val="32"/>
        </w:rPr>
        <w:t>、绩效预算信息</w:t>
      </w:r>
    </w:p>
    <w:p>
      <w:pPr>
        <w:keepNext w:val="0"/>
        <w:keepLines w:val="0"/>
        <w:pageBreakBefore w:val="0"/>
        <w:kinsoku/>
        <w:wordWrap/>
        <w:overflowPunct/>
        <w:topLinePunct w:val="0"/>
        <w:autoSpaceDE w:val="0"/>
        <w:autoSpaceDN w:val="0"/>
        <w:bidi w:val="0"/>
        <w:adjustRightInd w:val="0"/>
        <w:spacing w:line="420" w:lineRule="exact"/>
        <w:ind w:left="198" w:firstLine="443" w:firstLineChars="138"/>
        <w:jc w:val="left"/>
        <w:textAlignment w:val="auto"/>
        <w:rPr>
          <w:rFonts w:ascii="Times New Roman" w:hAnsi="Times New Roman" w:eastAsia="仿宋" w:cs="Times New Roman"/>
          <w:b/>
          <w:sz w:val="32"/>
          <w:szCs w:val="32"/>
        </w:rPr>
      </w:pPr>
      <w:bookmarkStart w:id="0" w:name="_Toc471398463"/>
      <w:r>
        <w:rPr>
          <w:rFonts w:hint="eastAsia" w:ascii="Times New Roman" w:hAnsi="Times New Roman" w:eastAsia="仿宋" w:cs="Times New Roman"/>
          <w:b/>
          <w:sz w:val="32"/>
          <w:szCs w:val="32"/>
        </w:rPr>
        <w:t>（一）</w:t>
      </w:r>
      <w:r>
        <w:rPr>
          <w:rFonts w:ascii="Times New Roman" w:hAnsi="Times New Roman" w:eastAsia="仿宋" w:cs="Times New Roman"/>
          <w:b/>
          <w:sz w:val="32"/>
          <w:szCs w:val="32"/>
        </w:rPr>
        <w:t>总体绩效目标：</w:t>
      </w:r>
    </w:p>
    <w:p>
      <w:pPr>
        <w:keepNext w:val="0"/>
        <w:keepLines w:val="0"/>
        <w:pageBreakBefore w:val="0"/>
        <w:tabs>
          <w:tab w:val="left" w:pos="425"/>
        </w:tabs>
        <w:kinsoku/>
        <w:wordWrap/>
        <w:overflowPunct/>
        <w:topLinePunct w:val="0"/>
        <w:autoSpaceDE w:val="0"/>
        <w:autoSpaceDN w:val="0"/>
        <w:bidi w:val="0"/>
        <w:adjustRightInd w:val="0"/>
        <w:spacing w:line="42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2020年，高新区退役军人管理服务中心的总体发展规划目标是：</w:t>
      </w:r>
      <w:r>
        <w:rPr>
          <w:rFonts w:ascii="仿宋" w:hAnsi="仿宋" w:eastAsia="仿宋"/>
          <w:sz w:val="30"/>
          <w:lang w:eastAsia="zh-CN"/>
        </w:rPr>
        <w:t>以习近平新时代中国特色社会主义思想为指导，深入贯彻习近平总书记关于退役军人工作重要论述和重要指示批示精神，在承德市退役军人事务局、区工管委领导下</w:t>
      </w:r>
      <w:r>
        <w:rPr>
          <w:rFonts w:hint="eastAsia" w:ascii="仿宋" w:hAnsi="仿宋" w:eastAsia="仿宋"/>
          <w:sz w:val="32"/>
          <w:szCs w:val="32"/>
        </w:rPr>
        <w:t>围绕工、管委中心工作，</w:t>
      </w:r>
      <w:r>
        <w:rPr>
          <w:rFonts w:ascii="仿宋" w:hAnsi="仿宋" w:eastAsia="仿宋"/>
          <w:sz w:val="30"/>
          <w:lang w:eastAsia="zh-CN"/>
        </w:rPr>
        <w:t>认真落实好本辖区内退役军人管理服务工作。严格执行国家和省有关退役军人的优抚优待、安置就业、教育管理、服务保障、权益维护等相关政策，依法妥善安置退役军人，保障和维护其合法权益。按照国家档案管理有关规定办理退役军人档案接收、保管、查阅和传递，认真采集维护相关数据信息，逐人建档立卡，建立分类清晰、要素齐全、内容规范的退役军人数据库。全面落实退役军人优待抚恤的各项措施，让军人成为全社会尊崇的职业，切实维护和保障退役军人合法权益。</w:t>
      </w:r>
    </w:p>
    <w:p>
      <w:pPr>
        <w:keepNext w:val="0"/>
        <w:keepLines w:val="0"/>
        <w:pageBreakBefore w:val="0"/>
        <w:numPr>
          <w:ilvl w:val="0"/>
          <w:numId w:val="1"/>
        </w:numPr>
        <w:kinsoku/>
        <w:wordWrap/>
        <w:overflowPunct/>
        <w:topLinePunct w:val="0"/>
        <w:bidi w:val="0"/>
        <w:spacing w:line="420" w:lineRule="exac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职责分类绩效目标：</w:t>
      </w:r>
    </w:p>
    <w:p>
      <w:pPr>
        <w:keepNext w:val="0"/>
        <w:keepLines w:val="0"/>
        <w:pageBreakBefore w:val="0"/>
        <w:tabs>
          <w:tab w:val="left" w:pos="425"/>
        </w:tabs>
        <w:kinsoku/>
        <w:wordWrap/>
        <w:overflowPunct/>
        <w:topLinePunct w:val="0"/>
        <w:autoSpaceDE w:val="0"/>
        <w:autoSpaceDN w:val="0"/>
        <w:bidi w:val="0"/>
        <w:adjustRightInd w:val="0"/>
        <w:spacing w:line="420" w:lineRule="exact"/>
        <w:ind w:firstLine="640" w:firstLineChars="200"/>
        <w:jc w:val="left"/>
        <w:textAlignment w:val="auto"/>
        <w:rPr>
          <w:rFonts w:hint="eastAsia" w:ascii="仿宋" w:hAnsi="仿宋" w:eastAsia="仿宋" w:cs="仿宋"/>
          <w:color w:val="000000"/>
          <w:sz w:val="30"/>
          <w:szCs w:val="30"/>
          <w:lang w:eastAsia="zh-CN"/>
        </w:rPr>
      </w:pP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w:t>
      </w:r>
      <w:r>
        <w:rPr>
          <w:rFonts w:hint="eastAsia" w:ascii="仿宋" w:hAnsi="仿宋" w:eastAsia="仿宋" w:cs="Times New Roman"/>
          <w:sz w:val="32"/>
          <w:szCs w:val="32"/>
        </w:rPr>
        <w:t>3</w:t>
      </w:r>
      <w:r>
        <w:rPr>
          <w:rFonts w:ascii="仿宋" w:hAnsi="仿宋" w:eastAsia="仿宋" w:cs="Times New Roman"/>
          <w:sz w:val="32"/>
          <w:szCs w:val="32"/>
        </w:rPr>
        <w:t>月</w:t>
      </w:r>
      <w:r>
        <w:rPr>
          <w:rFonts w:hint="eastAsia" w:ascii="仿宋" w:hAnsi="仿宋" w:eastAsia="仿宋" w:cs="Times New Roman"/>
          <w:sz w:val="32"/>
          <w:szCs w:val="32"/>
        </w:rPr>
        <w:t>29</w:t>
      </w:r>
      <w:r>
        <w:rPr>
          <w:rFonts w:ascii="仿宋" w:hAnsi="仿宋" w:eastAsia="仿宋" w:cs="Times New Roman"/>
          <w:sz w:val="32"/>
          <w:szCs w:val="32"/>
        </w:rPr>
        <w:t>日，</w:t>
      </w:r>
      <w:r>
        <w:rPr>
          <w:rFonts w:hint="eastAsia" w:ascii="仿宋" w:hAnsi="仿宋" w:eastAsia="仿宋" w:cs="Times New Roman"/>
          <w:sz w:val="32"/>
          <w:szCs w:val="32"/>
        </w:rPr>
        <w:t>经2018年第二次编委会研究，提请第五次工委（扩大）会议通过，</w:t>
      </w:r>
      <w:r>
        <w:rPr>
          <w:rFonts w:ascii="仿宋" w:hAnsi="仿宋" w:eastAsia="仿宋" w:cs="Times New Roman"/>
          <w:sz w:val="32"/>
          <w:szCs w:val="32"/>
        </w:rPr>
        <w:t>决定成立高新区</w:t>
      </w:r>
      <w:r>
        <w:rPr>
          <w:rFonts w:hint="eastAsia" w:ascii="仿宋" w:hAnsi="仿宋" w:eastAsia="仿宋" w:cs="Times New Roman"/>
          <w:sz w:val="32"/>
          <w:szCs w:val="32"/>
        </w:rPr>
        <w:t>退役军人管理服务</w:t>
      </w:r>
      <w:r>
        <w:rPr>
          <w:rFonts w:ascii="仿宋" w:hAnsi="仿宋" w:eastAsia="仿宋" w:cs="Times New Roman"/>
          <w:sz w:val="32"/>
          <w:szCs w:val="32"/>
        </w:rPr>
        <w:t>中心（承高机编[201</w:t>
      </w:r>
      <w:r>
        <w:rPr>
          <w:rFonts w:hint="eastAsia" w:ascii="仿宋" w:hAnsi="仿宋" w:eastAsia="仿宋" w:cs="Times New Roman"/>
          <w:sz w:val="32"/>
          <w:szCs w:val="32"/>
        </w:rPr>
        <w:t>8</w:t>
      </w:r>
      <w:r>
        <w:rPr>
          <w:rFonts w:ascii="仿宋" w:hAnsi="仿宋" w:eastAsia="仿宋" w:cs="Times New Roman"/>
          <w:sz w:val="32"/>
          <w:szCs w:val="32"/>
        </w:rPr>
        <w:t>]</w:t>
      </w:r>
      <w:r>
        <w:rPr>
          <w:rFonts w:hint="eastAsia" w:ascii="仿宋" w:hAnsi="仿宋" w:eastAsia="仿宋" w:cs="Times New Roman"/>
          <w:sz w:val="32"/>
          <w:szCs w:val="32"/>
        </w:rPr>
        <w:t>1</w:t>
      </w:r>
      <w:r>
        <w:rPr>
          <w:rFonts w:ascii="仿宋" w:hAnsi="仿宋" w:eastAsia="仿宋" w:cs="Times New Roman"/>
          <w:sz w:val="32"/>
          <w:szCs w:val="32"/>
        </w:rPr>
        <w:t>号），</w:t>
      </w:r>
      <w:r>
        <w:rPr>
          <w:rFonts w:hint="eastAsia" w:ascii="仿宋" w:hAnsi="仿宋" w:eastAsia="仿宋" w:cs="仿宋"/>
          <w:color w:val="000000"/>
          <w:sz w:val="30"/>
          <w:szCs w:val="30"/>
        </w:rPr>
        <w:t>负责管辖范围内军队转业干部（随军家属）、复员干部、退休干部、退役士兵的移交安置、解困及稳定工作。负责退役军人服务管理、工资福利待遇保障、政策调研、政策宣传、数据信息管理维护、职业教育和技能培训、就业创业服务工作。指导和组织建立精准帮扶责任制，开展常态化走访慰问、帮扶解困、化解矛盾和思想政治工作。指导全区拥军优属工作和优待抚恤，负责烈士及退役军人荣誉奖励等活动。配合有关部门做好来信来访工作。</w:t>
      </w:r>
      <w:r>
        <w:rPr>
          <w:rFonts w:hint="eastAsia" w:ascii="仿宋" w:hAnsi="仿宋" w:eastAsia="仿宋"/>
          <w:sz w:val="32"/>
          <w:szCs w:val="32"/>
        </w:rPr>
        <w:t>不断加强领导班子和干部队伍自身建设，不断推进中心各项工作提档进位</w:t>
      </w:r>
      <w:r>
        <w:rPr>
          <w:rFonts w:hint="eastAsia" w:ascii="仿宋" w:hAnsi="仿宋" w:eastAsia="仿宋"/>
          <w:sz w:val="32"/>
          <w:szCs w:val="32"/>
          <w:lang w:eastAsia="zh-CN"/>
        </w:rPr>
        <w:t>。</w:t>
      </w:r>
    </w:p>
    <w:p>
      <w:pPr>
        <w:widowControl/>
        <w:spacing w:line="360" w:lineRule="auto"/>
        <w:ind w:firstLine="643" w:firstLineChars="200"/>
        <w:rPr>
          <w:rFonts w:hint="eastAsia" w:ascii="Times New Roman" w:hAnsi="Times New Roman" w:eastAsia="仿宋" w:cs="Times New Roman"/>
          <w:b/>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）实现本年度绩效目标的保障措施：</w:t>
      </w:r>
    </w:p>
    <w:p>
      <w:pPr>
        <w:pStyle w:val="30"/>
        <w:ind w:firstLine="600"/>
        <w:rPr>
          <w:rFonts w:ascii="仿宋" w:hAnsi="仿宋" w:eastAsia="仿宋" w:cs="仿宋"/>
          <w:sz w:val="30"/>
          <w:szCs w:val="30"/>
          <w:lang w:eastAsia="zh-CN"/>
        </w:rPr>
      </w:pPr>
      <w:r>
        <w:rPr>
          <w:rFonts w:hint="eastAsia" w:ascii="仿宋" w:hAnsi="仿宋" w:eastAsia="仿宋" w:cs="仿宋"/>
          <w:sz w:val="30"/>
          <w:szCs w:val="30"/>
          <w:lang w:eastAsia="zh-CN"/>
        </w:rPr>
        <w:t>为更好地实现年度绩效目标，我中心做好几下几项工作：</w:t>
      </w:r>
    </w:p>
    <w:p>
      <w:pPr>
        <w:pStyle w:val="30"/>
        <w:ind w:firstLine="602" w:firstLineChars="200"/>
        <w:rPr>
          <w:rFonts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1</w:t>
      </w:r>
      <w:r>
        <w:rPr>
          <w:rFonts w:hint="eastAsia" w:ascii="仿宋" w:hAnsi="仿宋" w:eastAsia="仿宋" w:cs="仿宋"/>
          <w:b/>
          <w:bCs/>
          <w:sz w:val="30"/>
          <w:szCs w:val="30"/>
          <w:lang w:eastAsia="zh-CN"/>
        </w:rPr>
        <w:t>）完善制度建设</w:t>
      </w:r>
      <w:r>
        <w:rPr>
          <w:rFonts w:hint="eastAsia" w:ascii="仿宋" w:hAnsi="仿宋" w:eastAsia="仿宋" w:cs="仿宋"/>
          <w:sz w:val="30"/>
          <w:szCs w:val="30"/>
          <w:lang w:eastAsia="zh-CN"/>
        </w:rPr>
        <w:t>。</w:t>
      </w:r>
      <w:r>
        <w:rPr>
          <w:rFonts w:hint="eastAsia" w:ascii="仿宋" w:hAnsi="仿宋" w:eastAsia="仿宋" w:cs="仿宋"/>
          <w:color w:val="000000"/>
          <w:sz w:val="30"/>
          <w:szCs w:val="30"/>
          <w:shd w:val="clear" w:color="auto" w:fill="FFFFFF"/>
          <w:lang w:eastAsia="zh-CN"/>
        </w:rPr>
        <w:t>制度建设作为开展绩效管理工作的关键环节</w:t>
      </w:r>
      <w:r>
        <w:rPr>
          <w:rFonts w:hint="eastAsia" w:ascii="仿宋" w:hAnsi="仿宋" w:eastAsia="仿宋" w:cs="仿宋"/>
          <w:sz w:val="30"/>
          <w:szCs w:val="30"/>
          <w:lang w:eastAsia="zh-CN"/>
        </w:rPr>
        <w:t>，按照</w:t>
      </w:r>
      <w:r>
        <w:rPr>
          <w:rFonts w:hint="eastAsia" w:ascii="仿宋" w:hAnsi="仿宋" w:eastAsia="仿宋" w:cs="仿宋"/>
          <w:color w:val="000000"/>
          <w:sz w:val="30"/>
          <w:szCs w:val="30"/>
          <w:lang w:eastAsia="zh-CN"/>
        </w:rPr>
        <w:t>国家、省和市有关文件要求，结合</w:t>
      </w:r>
      <w:r>
        <w:rPr>
          <w:rFonts w:hint="eastAsia" w:ascii="仿宋" w:hAnsi="仿宋" w:eastAsia="仿宋" w:cs="仿宋"/>
          <w:sz w:val="30"/>
          <w:szCs w:val="30"/>
          <w:lang w:eastAsia="zh-CN"/>
        </w:rPr>
        <w:t>我中心优抚优待、退役军人慰问、就业创业、职业技能培训、信访维稳等</w:t>
      </w:r>
      <w:r>
        <w:rPr>
          <w:rFonts w:hint="eastAsia" w:ascii="仿宋" w:hAnsi="仿宋" w:eastAsia="仿宋" w:cs="仿宋"/>
          <w:color w:val="000000"/>
          <w:sz w:val="30"/>
          <w:szCs w:val="30"/>
          <w:lang w:eastAsia="zh-CN"/>
        </w:rPr>
        <w:t>工作实际</w:t>
      </w:r>
      <w:r>
        <w:rPr>
          <w:rFonts w:hint="eastAsia" w:ascii="仿宋" w:hAnsi="仿宋" w:eastAsia="仿宋" w:cs="仿宋"/>
          <w:sz w:val="30"/>
          <w:szCs w:val="30"/>
          <w:lang w:eastAsia="zh-CN"/>
        </w:rPr>
        <w:t>做好每一个项目支出预算。在预算之外新增项目及时申请调剂或追加项目预算，做到预算精细合理。费用支出时严格按照政策标准和项目内容逐项列支，不挤占挪用，使每一个退役士兵的合法权益得到保障。为了维护财经纪律，实行财务会计出纳管理制度，每一笔费用支出都要经过会议研究决定，领导签批后方可列支。</w:t>
      </w:r>
    </w:p>
    <w:p>
      <w:pPr>
        <w:pStyle w:val="30"/>
        <w:ind w:firstLine="640"/>
        <w:rPr>
          <w:rFonts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2</w:t>
      </w:r>
      <w:r>
        <w:rPr>
          <w:rFonts w:hint="eastAsia" w:ascii="仿宋" w:hAnsi="仿宋" w:eastAsia="仿宋" w:cs="仿宋"/>
          <w:b/>
          <w:bCs/>
          <w:sz w:val="30"/>
          <w:szCs w:val="30"/>
          <w:lang w:eastAsia="zh-CN"/>
        </w:rPr>
        <w:t>）加强支出管理</w:t>
      </w:r>
      <w:r>
        <w:rPr>
          <w:rFonts w:hint="eastAsia" w:ascii="仿宋" w:hAnsi="仿宋" w:eastAsia="仿宋" w:cs="仿宋"/>
          <w:sz w:val="30"/>
          <w:szCs w:val="30"/>
          <w:lang w:eastAsia="zh-CN"/>
        </w:rPr>
        <w:t>。</w:t>
      </w:r>
      <w:r>
        <w:rPr>
          <w:rFonts w:hint="eastAsia" w:ascii="仿宋" w:hAnsi="仿宋" w:eastAsia="仿宋" w:cs="仿宋"/>
          <w:color w:val="333333"/>
          <w:sz w:val="30"/>
          <w:szCs w:val="30"/>
          <w:shd w:val="clear" w:color="auto" w:fill="FFFFFF"/>
          <w:lang w:eastAsia="zh-CN"/>
        </w:rPr>
        <w:t>进一步增强支出责任和效率意识，全面加强预算管理，优化资源配置，提高财政资金使用绩效和科学精细化管理水平。</w:t>
      </w:r>
      <w:r>
        <w:rPr>
          <w:rFonts w:hint="eastAsia" w:ascii="仿宋" w:hAnsi="仿宋" w:eastAsia="仿宋" w:cs="仿宋"/>
          <w:sz w:val="30"/>
          <w:szCs w:val="30"/>
          <w:lang w:eastAsia="zh-CN"/>
        </w:rPr>
        <w:t>把保障退役军人的权益放在各项工作的首位，凡是退役军人应该享受的各项待遇必须无条件落实到位。涉及政府采购的项目严格按照采购程序进行采购，并尽快启动项目建设，项目竣工验收合格后，及时支付资金。</w:t>
      </w:r>
    </w:p>
    <w:p>
      <w:pPr>
        <w:pStyle w:val="30"/>
        <w:ind w:firstLine="640"/>
        <w:rPr>
          <w:rFonts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eastAsia="zh-CN"/>
        </w:rPr>
        <w:t>）加强绩效运行监控</w:t>
      </w:r>
      <w:r>
        <w:rPr>
          <w:rFonts w:hint="eastAsia" w:ascii="仿宋" w:hAnsi="仿宋" w:eastAsia="仿宋" w:cs="仿宋"/>
          <w:sz w:val="30"/>
          <w:szCs w:val="30"/>
          <w:lang w:eastAsia="zh-CN"/>
        </w:rPr>
        <w:t>。</w:t>
      </w:r>
      <w:r>
        <w:rPr>
          <w:rFonts w:hint="eastAsia" w:ascii="仿宋" w:hAnsi="仿宋" w:eastAsia="仿宋" w:cs="仿宋"/>
          <w:color w:val="000000"/>
          <w:sz w:val="30"/>
          <w:szCs w:val="30"/>
          <w:lang w:eastAsia="zh-CN"/>
        </w:rPr>
        <w:t>加强各科室对项目绩效目标运行进行全程监控，发现问题及时解决。</w:t>
      </w:r>
      <w:r>
        <w:rPr>
          <w:rFonts w:hint="eastAsia" w:ascii="仿宋" w:hAnsi="仿宋" w:eastAsia="仿宋" w:cs="仿宋"/>
          <w:sz w:val="30"/>
          <w:szCs w:val="30"/>
          <w:lang w:eastAsia="zh-CN"/>
        </w:rPr>
        <w:t>从资金拨付源头入手，强化每笔资金流转的监控，确保资金运转环节符合资金用途。在注重资金运行过程监控的同时，把资金最终去向作为更为关键的内容，确保每笔资金最终用途完全符合政策规定。</w:t>
      </w:r>
    </w:p>
    <w:p>
      <w:pPr>
        <w:pStyle w:val="30"/>
        <w:ind w:firstLine="600"/>
        <w:rPr>
          <w:rFonts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4</w:t>
      </w:r>
      <w:r>
        <w:rPr>
          <w:rFonts w:hint="eastAsia" w:ascii="仿宋" w:hAnsi="仿宋" w:eastAsia="仿宋" w:cs="仿宋"/>
          <w:b/>
          <w:bCs/>
          <w:sz w:val="30"/>
          <w:szCs w:val="30"/>
          <w:lang w:eastAsia="zh-CN"/>
        </w:rPr>
        <w:t>）</w:t>
      </w:r>
      <w:r>
        <w:rPr>
          <w:rFonts w:hint="eastAsia" w:ascii="仿宋" w:hAnsi="仿宋" w:eastAsia="仿宋" w:cs="仿宋"/>
          <w:b/>
          <w:bCs/>
          <w:color w:val="000000"/>
          <w:sz w:val="30"/>
          <w:szCs w:val="30"/>
          <w:lang w:eastAsia="zh-CN"/>
        </w:rPr>
        <w:t>加强项目绩效评价</w:t>
      </w:r>
      <w:r>
        <w:rPr>
          <w:rFonts w:hint="eastAsia" w:ascii="仿宋" w:hAnsi="仿宋" w:eastAsia="仿宋" w:cs="仿宋"/>
          <w:color w:val="000000"/>
          <w:sz w:val="30"/>
          <w:szCs w:val="30"/>
          <w:lang w:eastAsia="zh-CN"/>
        </w:rPr>
        <w:t>。协调中心内业务科室将预算绩效管理考评加入到日常工作中，形成常规化管理。加强预算单位项目自评工作，提高报告质量。认真分析研究评价结果所反映的问题，努力查找资金的使用和管理中的薄弱环节，制定改进和提高工作的措施。同时，加大重点评价工作力度，确保项目资金的合理运用。</w:t>
      </w:r>
    </w:p>
    <w:p>
      <w:pPr>
        <w:pStyle w:val="30"/>
        <w:ind w:firstLine="600"/>
        <w:rPr>
          <w:rFonts w:ascii="仿宋" w:hAnsi="仿宋" w:eastAsia="仿宋" w:cs="仿宋"/>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5</w:t>
      </w:r>
      <w:r>
        <w:rPr>
          <w:rFonts w:hint="eastAsia" w:ascii="仿宋" w:hAnsi="仿宋" w:eastAsia="仿宋" w:cs="仿宋"/>
          <w:b/>
          <w:bCs/>
          <w:sz w:val="30"/>
          <w:szCs w:val="30"/>
          <w:lang w:eastAsia="zh-CN"/>
        </w:rPr>
        <w:t>）规范财务资产管理</w:t>
      </w:r>
      <w:r>
        <w:rPr>
          <w:rFonts w:hint="eastAsia" w:ascii="仿宋" w:hAnsi="仿宋" w:eastAsia="仿宋" w:cs="仿宋"/>
          <w:sz w:val="30"/>
          <w:szCs w:val="30"/>
          <w:lang w:eastAsia="zh-CN"/>
        </w:rPr>
        <w:t>。严格执行财务管理制度，确保每笔业务来龙去脉清楚，严格坚持审批制度和审批程序，每笔费用支出都经过严格审批。加强固定资产登记和使用管理，确保每一项固定资产登记清楚，使用保管人明确，使用合理，物尽其用。</w:t>
      </w:r>
    </w:p>
    <w:p>
      <w:pPr>
        <w:ind w:firstLine="602" w:firstLineChars="200"/>
        <w:rPr>
          <w:rFonts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）加强宣传培训调研</w:t>
      </w:r>
      <w:r>
        <w:rPr>
          <w:rFonts w:hint="eastAsia" w:ascii="仿宋" w:hAnsi="仿宋" w:eastAsia="仿宋" w:cs="仿宋"/>
          <w:sz w:val="30"/>
          <w:szCs w:val="30"/>
        </w:rPr>
        <w:t>。加大宣传力度，强化预算绩效管理意识，促进预算绩效管理水平进一步提升；加强业务人员</w:t>
      </w:r>
      <w:r>
        <w:rPr>
          <w:rFonts w:hint="eastAsia" w:ascii="仿宋" w:hAnsi="仿宋" w:eastAsia="仿宋" w:cs="仿宋"/>
          <w:color w:val="000000"/>
          <w:sz w:val="30"/>
          <w:szCs w:val="30"/>
        </w:rPr>
        <w:t>绩效管理工作培训</w:t>
      </w:r>
      <w:r>
        <w:rPr>
          <w:rFonts w:hint="eastAsia" w:ascii="仿宋" w:hAnsi="仿宋" w:eastAsia="仿宋" w:cs="仿宋"/>
          <w:sz w:val="30"/>
          <w:szCs w:val="30"/>
        </w:rPr>
        <w:t>，</w:t>
      </w:r>
      <w:r>
        <w:rPr>
          <w:rFonts w:hint="eastAsia" w:ascii="仿宋" w:hAnsi="仿宋" w:eastAsia="仿宋" w:cs="仿宋"/>
          <w:color w:val="000000"/>
          <w:sz w:val="30"/>
          <w:szCs w:val="30"/>
        </w:rPr>
        <w:t>增强预算绩效管理工作人员的业务素质，保质保量完成绩效管理工作</w:t>
      </w:r>
      <w:r>
        <w:rPr>
          <w:rFonts w:hint="eastAsia" w:ascii="仿宋" w:hAnsi="仿宋" w:eastAsia="仿宋" w:cs="仿宋"/>
          <w:sz w:val="30"/>
          <w:szCs w:val="30"/>
        </w:rPr>
        <w:t>；加强调研，通过调研提出优化财政资金配置，提高资金使用效益的意见建议，为退役军人服务工作打好基础。</w:t>
      </w:r>
    </w:p>
    <w:p>
      <w:pPr>
        <w:ind w:firstLine="1057" w:firstLineChars="32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）职责分类绩效目标：</w:t>
      </w:r>
    </w:p>
    <w:p>
      <w:pPr>
        <w:ind w:firstLine="1052" w:firstLineChars="329"/>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）扎实抓好双拥优抚和褒扬纪念工作。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1171" w:firstLineChars="366"/>
        <w:jc w:val="left"/>
        <w:rPr>
          <w:rFonts w:ascii="仿宋" w:hAnsi="仿宋" w:eastAsia="仿宋" w:cs="仿宋"/>
          <w:sz w:val="32"/>
          <w:szCs w:val="32"/>
        </w:rPr>
      </w:pPr>
      <w:r>
        <w:rPr>
          <w:rFonts w:hint="eastAsia" w:ascii="仿宋" w:hAnsi="仿宋" w:eastAsia="仿宋" w:cs="仿宋"/>
          <w:sz w:val="32"/>
          <w:szCs w:val="32"/>
        </w:rPr>
        <w:t>绩效目标：建立健全优抚优待体系，做好优抚对象服务保障、荣誉体系构建、褒扬纪念等工作，提高服务水平，增强退役军人荣誉感、获得感、幸福感。发扬拥军优属、拥政爱民光荣传统，广泛开展双拥共建活动，在全社会营造尊崇军人的良好氛围，积极做好2020年双拥模范城（县）考评、验收准备工作。及时发放优抚补助资金和现役军人立功受奖奖励金，按时按标准100%足额发放，有效保障优抚对象基本生活，调动广大义务兵安心服役、献身国防的积极性。做好2020年元旦、春节、“八一"期间重点优抚对象、退役军人、驻区部队走访慰问活动，服务对象满意度达到95%以上。</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）退役士兵一次性经济补助</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进一步深化退役士兵安置工作改革，保障退役士兵合法权益，做好自主就业退役士兵一次性经济补助发放工作，体现了党和国家对自主就业退役士兵的关心和优待，提高了他们的生活水平。为我辖区内所有符合政策的退役士兵按规定程序发放一次性经济补助，完成任务的100%，服务对象满意度达95%以上。</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）一次性抚恤金</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根据《军人抚恤优待条例》规定，现役军人死亡，根据其死亡性质和死亡时的月工资标准，由区退役军人事务部门发给其遗属一次性抚恤金。项目资金到位率达到100%，一次性经济补偿按文件要求时限足额发放到人，发放手续合规合法。</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）伤残军人护理费</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根据《军人抚恤优待条例》《关于做好因患精神病被评定为五级至六级残疾等级的初级士官和义务遇发放工作的通知》要求，切实做好本辖区内伤残军人护理费发放工作。保证专款及时到位，伤残军人护理费按文件要求时限足额发放到人。保障伤残军人待遇的落实，不断提高和改善他们的生活质量。</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）退役士兵待安置期间生活补助接续养老保险费</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绩效目标：按照上级文件要求及人社部门核准的缴纳标准，为退役士兵待安置期间接续养老保险。项目资金到位率达到100%，及时为符合政策的退役士兵接续保险完成任务比例达到100%。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560"/>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）做好退役军人信访接访权益维护工作</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稳步落实中央、省、市有关退役军人信访稳定工作各项决策部署，持续加强退役军人信访基础性工作，依法维护退役军人合法权益，努力提高群体满意度和社会大局稳定程度。全国全省“两会”、党代会等重大政治活动期间的信访、维稳值班工作，做好驻京及到市、省、进京接访等信访工作。按照《信访条例》有关规定做好退役军人信访事项受理、办理工作，确保信访事项按时回复率95%以上。根据省退役军人事务厅有关工作安排，适时做好信访情况、舆情信息、回查整改等报告上报工作，确保完成率100%。完成退役军人信访稳定驻京值班工作，完成任务的100%。</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）组织指导退役军人教育培训工作，协调扶持退役军人就业创业工作。</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根据河北省退役军人事务厅印发《关于推进全省退役军人就业创业工作的指导意见》的通知要求，突出做好教育培训，即：适应性培训、职业技能培训、创业培训。加强退役军人就业创业服务，组织开展我区退役军人就业创业适应性培训和职业技能培训工作，合理制定培训计划，力争培训人员覆盖率达到100%，资金到位率达到100%，使培训任务圆满完成。组织开展我区退役军人专场招聘会，促进退役军人实现高质量稳定就业，退役军人就业率得到有效提升，拓宽了退役军人就业渠道。</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）优抚对象医疗保障经费</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绩效目标：通过发放重点优抚对象医疗补助资金，对重点优抚对象住院和门诊费用进行补助，有效帮助解决重点优抚对象医疗难问题。按照规定的缴纳标准，为1-6级伤残军人办理城镇职工医疗保险，保障了1至6级残疾军人的合法权益，不断提高和改善他们的生活质量。重点优抚对象医疗补助资金到位率达到100%，发放医疗补助覆盖面达到100%，受益群众满意度达到95%以上。</w:t>
      </w:r>
    </w:p>
    <w:p>
      <w:pPr>
        <w:pStyle w:val="30"/>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）退役军人关爱基金</w:t>
      </w:r>
    </w:p>
    <w:p>
      <w:pPr>
        <w:pStyle w:val="30"/>
        <w:ind w:firstLine="640" w:firstLineChars="200"/>
        <w:rPr>
          <w:rFonts w:ascii="Arial" w:hAnsi="Arial" w:cs="Arial"/>
          <w:color w:val="333333"/>
          <w:szCs w:val="24"/>
          <w:lang w:eastAsia="zh-CN"/>
        </w:rPr>
      </w:pPr>
      <w:r>
        <w:rPr>
          <w:rFonts w:hint="eastAsia" w:ascii="仿宋" w:hAnsi="仿宋" w:eastAsia="仿宋" w:cs="仿宋"/>
          <w:sz w:val="32"/>
          <w:szCs w:val="32"/>
          <w:lang w:eastAsia="zh-CN"/>
        </w:rPr>
        <w:t>绩效目标：</w:t>
      </w:r>
      <w:r>
        <w:rPr>
          <w:rFonts w:hint="eastAsia" w:ascii="仿宋" w:hAnsi="仿宋" w:eastAsia="仿宋" w:cs="仿宋"/>
          <w:bCs/>
          <w:color w:val="333333"/>
          <w:sz w:val="30"/>
          <w:szCs w:val="30"/>
          <w:shd w:val="clear" w:color="auto" w:fill="FFFFFF"/>
          <w:lang w:eastAsia="zh-CN"/>
        </w:rPr>
        <w:t>退役军人关爱基金成立，以社会资金为主，把更多企业家、爱心人士的力量吸引过来、凝聚起来、释放出来，借助公益慈善这一平台，使更多需要帮助的退役军人在</w:t>
      </w:r>
      <w:r>
        <w:rPr>
          <w:rFonts w:hint="eastAsia" w:ascii="仿宋" w:hAnsi="仿宋" w:eastAsia="仿宋" w:cs="仿宋"/>
          <w:bCs/>
          <w:sz w:val="30"/>
          <w:szCs w:val="30"/>
          <w:lang w:eastAsia="zh-CN"/>
        </w:rPr>
        <w:t>各种普惠性政策落实之后仍有特殊困难的退役军人</w:t>
      </w:r>
      <w:r>
        <w:rPr>
          <w:rFonts w:hint="eastAsia" w:ascii="仿宋" w:hAnsi="仿宋" w:eastAsia="仿宋" w:cs="仿宋"/>
          <w:bCs/>
          <w:color w:val="333333"/>
          <w:sz w:val="30"/>
          <w:szCs w:val="30"/>
          <w:shd w:val="clear" w:color="auto" w:fill="FFFFFF"/>
          <w:lang w:eastAsia="zh-CN"/>
        </w:rPr>
        <w:t>能得到更实惠、更温暖、更及时的保障。</w:t>
      </w:r>
      <w:r>
        <w:rPr>
          <w:rFonts w:hint="eastAsia" w:ascii="仿宋" w:hAnsi="仿宋" w:eastAsia="仿宋" w:cs="仿宋"/>
          <w:color w:val="333333"/>
          <w:sz w:val="30"/>
          <w:szCs w:val="30"/>
          <w:shd w:val="clear" w:color="auto" w:fill="FFFFFF"/>
          <w:lang w:eastAsia="zh-CN"/>
        </w:rPr>
        <w:t>及时将符合条件人员纳入关爱帮扶范围，深入了解受助对象最普遍、最迫切的需求，制订个性化帮扶措施，切实做到救急救难、雪中送炭。</w:t>
      </w:r>
      <w:r>
        <w:rPr>
          <w:rFonts w:hint="eastAsia" w:ascii="仿宋" w:hAnsi="仿宋" w:eastAsia="仿宋" w:cs="仿宋"/>
          <w:bCs/>
          <w:color w:val="333333"/>
          <w:sz w:val="30"/>
          <w:szCs w:val="30"/>
          <w:shd w:val="clear" w:color="auto" w:fill="FFFFFF"/>
          <w:lang w:eastAsia="zh-CN"/>
        </w:rPr>
        <w:t>褒扬奖励优秀退役军人，帮助退役军人解决实际困难，</w:t>
      </w:r>
      <w:r>
        <w:rPr>
          <w:rFonts w:hint="eastAsia" w:ascii="仿宋" w:hAnsi="仿宋" w:eastAsia="仿宋" w:cs="仿宋"/>
          <w:color w:val="333333"/>
          <w:sz w:val="30"/>
          <w:szCs w:val="30"/>
          <w:shd w:val="clear" w:color="auto" w:fill="FFFFFF"/>
          <w:lang w:eastAsia="zh-CN"/>
        </w:rPr>
        <w:t>着力提高退役军人军属服务保障水平，</w:t>
      </w:r>
      <w:r>
        <w:rPr>
          <w:rFonts w:hint="eastAsia" w:ascii="仿宋" w:hAnsi="仿宋" w:eastAsia="仿宋" w:cs="仿宋"/>
          <w:bCs/>
          <w:color w:val="333333"/>
          <w:sz w:val="30"/>
          <w:szCs w:val="30"/>
          <w:shd w:val="clear" w:color="auto" w:fill="FFFFFF"/>
          <w:lang w:eastAsia="zh-CN"/>
        </w:rPr>
        <w:t>增强现役军人献身国防的使命感，</w:t>
      </w:r>
      <w:r>
        <w:rPr>
          <w:rFonts w:hint="eastAsia" w:ascii="仿宋" w:hAnsi="仿宋" w:eastAsia="仿宋" w:cs="仿宋"/>
          <w:color w:val="333333"/>
          <w:sz w:val="30"/>
          <w:szCs w:val="30"/>
          <w:shd w:val="clear" w:color="auto" w:fill="FFFFFF"/>
          <w:lang w:eastAsia="zh-CN"/>
        </w:rPr>
        <w:t>持续营造全社会崇军尚武的浓厚氛围。</w:t>
      </w:r>
    </w:p>
    <w:p>
      <w:pPr>
        <w:ind w:left="640"/>
        <w:rPr>
          <w:rFonts w:hint="eastAsia" w:ascii="仿宋" w:hAnsi="仿宋" w:eastAsia="仿宋" w:cs="仿宋"/>
          <w:bCs/>
          <w:color w:val="000000"/>
          <w:sz w:val="32"/>
          <w:szCs w:val="32"/>
        </w:rPr>
      </w:pPr>
    </w:p>
    <w:p>
      <w:pPr>
        <w:numPr>
          <w:ilvl w:val="0"/>
          <w:numId w:val="3"/>
        </w:numPr>
        <w:ind w:left="0" w:firstLine="643" w:firstLineChars="200"/>
        <w:rPr>
          <w:rFonts w:ascii="仿宋" w:hAnsi="仿宋" w:eastAsia="仿宋" w:cs="仿宋"/>
          <w:bCs/>
          <w:color w:val="000000"/>
          <w:sz w:val="32"/>
          <w:szCs w:val="32"/>
        </w:rPr>
      </w:pPr>
      <w:r>
        <w:rPr>
          <w:rFonts w:hint="eastAsia" w:ascii="仿宋" w:hAnsi="仿宋" w:eastAsia="仿宋"/>
          <w:b/>
          <w:color w:val="000000"/>
          <w:kern w:val="0"/>
          <w:sz w:val="32"/>
          <w:szCs w:val="32"/>
        </w:rPr>
        <w:t>部门职责及工作活动绩效目标指标：</w:t>
      </w:r>
    </w:p>
    <w:tbl>
      <w:tblPr>
        <w:tblStyle w:val="9"/>
        <w:tblpPr w:leftFromText="180" w:rightFromText="180" w:vertAnchor="text" w:horzAnchor="page" w:tblpX="1640" w:tblpY="-2383"/>
        <w:tblOverlap w:val="never"/>
        <w:tblW w:w="13680" w:type="dxa"/>
        <w:tblInd w:w="0" w:type="dxa"/>
        <w:tblLayout w:type="fixed"/>
        <w:tblCellMar>
          <w:top w:w="0" w:type="dxa"/>
          <w:left w:w="0" w:type="dxa"/>
          <w:bottom w:w="0" w:type="dxa"/>
          <w:right w:w="0" w:type="dxa"/>
        </w:tblCellMar>
      </w:tblPr>
      <w:tblGrid>
        <w:gridCol w:w="2160"/>
        <w:gridCol w:w="1200"/>
        <w:gridCol w:w="1770"/>
        <w:gridCol w:w="2610"/>
        <w:gridCol w:w="1725"/>
        <w:gridCol w:w="1001"/>
        <w:gridCol w:w="664"/>
        <w:gridCol w:w="706"/>
        <w:gridCol w:w="1844"/>
      </w:tblGrid>
      <w:tr>
        <w:tblPrEx>
          <w:tblCellMar>
            <w:top w:w="0" w:type="dxa"/>
            <w:left w:w="0" w:type="dxa"/>
            <w:bottom w:w="0" w:type="dxa"/>
            <w:right w:w="0" w:type="dxa"/>
          </w:tblCellMar>
        </w:tblPrEx>
        <w:trPr>
          <w:trHeight w:val="633" w:hRule="atLeast"/>
        </w:trPr>
        <w:tc>
          <w:tcPr>
            <w:tcW w:w="13680" w:type="dxa"/>
            <w:gridSpan w:val="9"/>
            <w:tcBorders>
              <w:top w:val="nil"/>
              <w:left w:val="nil"/>
              <w:bottom w:val="nil"/>
              <w:right w:val="nil"/>
            </w:tcBorders>
            <w:tcMar>
              <w:top w:w="15" w:type="dxa"/>
              <w:left w:w="15" w:type="dxa"/>
              <w:right w:w="15" w:type="dxa"/>
            </w:tcMar>
            <w:vAlign w:val="center"/>
          </w:tcPr>
          <w:p>
            <w:pPr>
              <w:autoSpaceDE w:val="0"/>
              <w:autoSpaceDN w:val="0"/>
              <w:adjustRightInd w:val="0"/>
              <w:ind w:left="198" w:firstLine="301" w:firstLineChars="200"/>
              <w:jc w:val="center"/>
              <w:rPr>
                <w:rFonts w:ascii="仿宋" w:hAnsi="仿宋" w:eastAsia="仿宋" w:cs="仿宋"/>
                <w:b/>
                <w:color w:val="000000"/>
                <w:sz w:val="15"/>
                <w:szCs w:val="15"/>
              </w:rPr>
            </w:pPr>
            <w:r>
              <w:rPr>
                <w:rFonts w:hint="eastAsia" w:ascii="仿宋" w:hAnsi="仿宋" w:eastAsia="仿宋" w:cs="仿宋"/>
                <w:b/>
                <w:color w:val="000000"/>
                <w:kern w:val="0"/>
                <w:sz w:val="15"/>
                <w:szCs w:val="15"/>
              </w:rPr>
              <w:t>部门职责-工作活动绩效目标</w:t>
            </w:r>
          </w:p>
        </w:tc>
      </w:tr>
      <w:tr>
        <w:tblPrEx>
          <w:tblCellMar>
            <w:top w:w="0" w:type="dxa"/>
            <w:left w:w="0" w:type="dxa"/>
            <w:bottom w:w="0" w:type="dxa"/>
            <w:right w:w="0" w:type="dxa"/>
          </w:tblCellMar>
        </w:tblPrEx>
        <w:trPr>
          <w:trHeight w:val="345" w:hRule="atLeast"/>
        </w:trPr>
        <w:tc>
          <w:tcPr>
            <w:tcW w:w="136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部门编码及名称：[130002] 承德高新技术产业开发区退役军人管理服务中心      预算年度：2020                                             金额单位：万元</w:t>
            </w:r>
          </w:p>
        </w:tc>
      </w:tr>
      <w:tr>
        <w:tblPrEx>
          <w:tblCellMar>
            <w:top w:w="0" w:type="dxa"/>
            <w:left w:w="0" w:type="dxa"/>
            <w:bottom w:w="0" w:type="dxa"/>
            <w:right w:w="0" w:type="dxa"/>
          </w:tblCellMar>
        </w:tblPrEx>
        <w:trPr>
          <w:trHeight w:val="382" w:hRule="atLeast"/>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职责活动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年度预算数</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内容描述</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绩效目标</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绩效指标</w:t>
            </w:r>
          </w:p>
        </w:tc>
        <w:tc>
          <w:tcPr>
            <w:tcW w:w="421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绩效标准</w:t>
            </w:r>
          </w:p>
        </w:tc>
      </w:tr>
      <w:tr>
        <w:tblPrEx>
          <w:tblCellMar>
            <w:top w:w="0" w:type="dxa"/>
            <w:left w:w="0" w:type="dxa"/>
            <w:bottom w:w="0" w:type="dxa"/>
            <w:right w:w="0" w:type="dxa"/>
          </w:tblCellMar>
        </w:tblPrEx>
        <w:trPr>
          <w:trHeight w:val="379"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5"/>
                <w:szCs w:val="15"/>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优</w:t>
            </w:r>
          </w:p>
        </w:tc>
        <w:tc>
          <w:tcPr>
            <w:tcW w:w="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良</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中</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差</w:t>
            </w:r>
          </w:p>
        </w:tc>
      </w:tr>
      <w:tr>
        <w:tblPrEx>
          <w:tblCellMar>
            <w:top w:w="0" w:type="dxa"/>
            <w:left w:w="0" w:type="dxa"/>
            <w:bottom w:w="0" w:type="dxa"/>
            <w:right w:w="0" w:type="dxa"/>
          </w:tblCellMar>
        </w:tblPrEx>
        <w:trPr>
          <w:trHeight w:val="379"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5</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6</w:t>
            </w:r>
          </w:p>
        </w:tc>
        <w:tc>
          <w:tcPr>
            <w:tcW w:w="6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7</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9</w:t>
            </w:r>
          </w:p>
        </w:tc>
      </w:tr>
      <w:tr>
        <w:tblPrEx>
          <w:tblCellMar>
            <w:top w:w="0" w:type="dxa"/>
            <w:left w:w="0" w:type="dxa"/>
            <w:bottom w:w="0" w:type="dxa"/>
            <w:right w:w="0" w:type="dxa"/>
          </w:tblCellMar>
        </w:tblPrEx>
        <w:trPr>
          <w:trHeight w:val="670" w:hRule="atLeast"/>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负责管辖范围内军队转业干部（随军家属）、复员干部、退休干部、退役士兵的移交安置、解困及稳定工作。负责退役军人服务管理、工资福利待遇保障、政策调研、政策宣传、数据信息管理维护、职业教育和技能培训、就业创业服务工作。指导和组织建立精准帮扶责任制，开展常态化走访慰问、帮扶解困、化解矛盾和思想政治工作。指导全区拥军优属工作和优待抚恤，负责烈士及退役军人荣誉奖励等活动。配合有关部门做好来信来访工作。</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108</w:t>
            </w:r>
          </w:p>
        </w:tc>
        <w:tc>
          <w:tcPr>
            <w:tcW w:w="1770"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退役军人优待、抚恤工作；负责发放义务兵家庭优待金、负责给现役军人立功受奖家庭给予一定奖励、送喜报活动；1-6级伤残军人办理医疗保险、伤残军人护理费；伤残、带病回乡、两参人员评定组卷；60周岁农村退役士兵评定；参试人员体检情况；退役士兵待安置期间生活补助接续养老保险。退役士兵一次性经济补助、退役士兵自谋职业金，自主就业资金，退役士兵待安置期间生活补助等</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按文件标准发放优抚对象补助</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优抚对象生活抚恤支付资金占应支付额的比例</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7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按文件标准发放优抚对象医疗补助</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优抚对象医疗补助发放占应补助的比例</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758"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2</w:t>
            </w:r>
            <w:r>
              <w:rPr>
                <w:rFonts w:hint="eastAsia" w:ascii="宋体" w:hAnsi="宋体" w:cs="宋体"/>
                <w:color w:val="000000"/>
                <w:kern w:val="0"/>
                <w:sz w:val="15"/>
                <w:szCs w:val="15"/>
                <w:lang w:val="en-US" w:eastAsia="zh-CN"/>
              </w:rPr>
              <w:t>1</w:t>
            </w: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按文件标准发放退役士兵一次性经济补助</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退役士兵一次性经济补助发放及时率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379"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按文件标准发放义务兵家庭优待金</w:t>
            </w:r>
          </w:p>
        </w:tc>
        <w:tc>
          <w:tcPr>
            <w:tcW w:w="1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通过调查、了解，优抚对象满意度</w:t>
            </w:r>
          </w:p>
        </w:tc>
        <w:tc>
          <w:tcPr>
            <w:tcW w:w="100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379"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5"/>
                <w:szCs w:val="15"/>
              </w:rPr>
            </w:pP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00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p>
        </w:tc>
        <w:tc>
          <w:tcPr>
            <w:tcW w:w="66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p>
        </w:tc>
        <w:tc>
          <w:tcPr>
            <w:tcW w:w="70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p>
        </w:tc>
        <w:tc>
          <w:tcPr>
            <w:tcW w:w="18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p>
        </w:tc>
      </w:tr>
      <w:tr>
        <w:tblPrEx>
          <w:tblCellMar>
            <w:top w:w="0" w:type="dxa"/>
            <w:left w:w="0" w:type="dxa"/>
            <w:bottom w:w="0" w:type="dxa"/>
            <w:right w:w="0" w:type="dxa"/>
          </w:tblCellMar>
        </w:tblPrEx>
        <w:trPr>
          <w:trHeight w:val="59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7</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按文件标准发放伤残军人护理费</w:t>
            </w:r>
          </w:p>
        </w:tc>
        <w:tc>
          <w:tcPr>
            <w:tcW w:w="1725" w:type="dxa"/>
            <w:tcBorders>
              <w:top w:val="nil"/>
              <w:left w:val="nil"/>
              <w:bottom w:val="nil"/>
              <w:right w:val="nil"/>
            </w:tcBorders>
            <w:tcMar>
              <w:top w:w="15" w:type="dxa"/>
              <w:left w:w="15" w:type="dxa"/>
              <w:right w:w="15" w:type="dxa"/>
            </w:tcMar>
            <w:vAlign w:val="center"/>
          </w:tcPr>
          <w:p>
            <w:pPr>
              <w:rPr>
                <w:rFonts w:ascii="宋体" w:hAnsi="宋体" w:cs="宋体"/>
                <w:color w:val="000000"/>
                <w:sz w:val="15"/>
                <w:szCs w:val="15"/>
              </w:rPr>
            </w:pPr>
            <w:r>
              <w:rPr>
                <w:rFonts w:hint="eastAsia" w:ascii="宋体" w:hAnsi="宋体" w:cs="宋体"/>
                <w:color w:val="000000"/>
                <w:sz w:val="15"/>
                <w:szCs w:val="15"/>
              </w:rPr>
              <w:t>伤残军人护理费发放及时率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379"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lang w:val="en-US" w:eastAsia="zh-CN"/>
              </w:rPr>
              <w:t>5</w:t>
            </w: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一次性抚恤金</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资金到位</w:t>
            </w:r>
            <w:r>
              <w:rPr>
                <w:rFonts w:hint="eastAsia" w:ascii="宋体" w:hAnsi="宋体" w:cs="宋体"/>
                <w:color w:val="000000"/>
                <w:sz w:val="15"/>
                <w:szCs w:val="15"/>
              </w:rPr>
              <w:t>及时</w:t>
            </w:r>
            <w:r>
              <w:rPr>
                <w:rFonts w:hint="eastAsia" w:ascii="宋体" w:hAnsi="宋体" w:cs="宋体"/>
                <w:color w:val="000000"/>
                <w:sz w:val="15"/>
                <w:szCs w:val="15"/>
                <w:lang w:eastAsia="zh-CN"/>
              </w:rPr>
              <w:t>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7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享受伤残、带病回乡、两参人员评定完成情况</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r>
              <w:rPr>
                <w:rFonts w:hint="eastAsia" w:ascii="宋体" w:hAnsi="宋体" w:cs="宋体"/>
                <w:color w:val="000000"/>
                <w:kern w:val="0"/>
                <w:sz w:val="15"/>
                <w:szCs w:val="15"/>
              </w:rPr>
              <w:t>伤残、带病回乡、两参人员</w:t>
            </w:r>
            <w:r>
              <w:rPr>
                <w:rFonts w:hint="eastAsia" w:ascii="宋体" w:hAnsi="宋体" w:cs="宋体"/>
                <w:color w:val="000000"/>
                <w:sz w:val="15"/>
                <w:szCs w:val="15"/>
              </w:rPr>
              <w:t>评定及时性</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及时</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基本及时</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比较及时</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不及时</w:t>
            </w:r>
          </w:p>
        </w:tc>
      </w:tr>
      <w:tr>
        <w:tblPrEx>
          <w:tblCellMar>
            <w:top w:w="0" w:type="dxa"/>
            <w:left w:w="0" w:type="dxa"/>
            <w:bottom w:w="0" w:type="dxa"/>
            <w:right w:w="0" w:type="dxa"/>
          </w:tblCellMar>
        </w:tblPrEx>
        <w:trPr>
          <w:trHeight w:val="379"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组织两参人员参加体检</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r>
              <w:rPr>
                <w:rFonts w:hint="eastAsia" w:ascii="宋体" w:hAnsi="宋体" w:cs="宋体"/>
                <w:color w:val="000000"/>
                <w:sz w:val="15"/>
                <w:szCs w:val="15"/>
              </w:rPr>
              <w:t>参加体检人员满意度</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25"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0</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按上级文件标准为1-6级伤残军人办理医疗保险</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1-6级伤残军人参加医疗保险人数</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大于等于6人</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小于6人</w:t>
            </w:r>
          </w:p>
        </w:tc>
      </w:tr>
      <w:tr>
        <w:tblPrEx>
          <w:tblCellMar>
            <w:top w:w="0" w:type="dxa"/>
            <w:left w:w="0" w:type="dxa"/>
            <w:bottom w:w="0" w:type="dxa"/>
            <w:right w:w="0" w:type="dxa"/>
          </w:tblCellMar>
        </w:tblPrEx>
        <w:trPr>
          <w:trHeight w:val="9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1.65</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为立功受奖现役军人家庭发放奖金</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立功受奖人数</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大于等于3人</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小于3人</w:t>
            </w:r>
          </w:p>
        </w:tc>
      </w:tr>
      <w:tr>
        <w:tblPrEx>
          <w:tblCellMar>
            <w:top w:w="0" w:type="dxa"/>
            <w:left w:w="0" w:type="dxa"/>
            <w:bottom w:w="0" w:type="dxa"/>
            <w:right w:w="0" w:type="dxa"/>
          </w:tblCellMar>
        </w:tblPrEx>
        <w:trPr>
          <w:trHeight w:val="654"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5</w:t>
            </w:r>
          </w:p>
        </w:tc>
        <w:tc>
          <w:tcPr>
            <w:tcW w:w="177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退役士兵待安置期间生活补助接续养老保险费</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退役士兵满意度</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7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sz w:val="15"/>
                <w:szCs w:val="15"/>
                <w:lang w:val="en-US" w:eastAsia="zh-CN"/>
              </w:rPr>
              <w:t>9.4</w:t>
            </w:r>
          </w:p>
        </w:tc>
        <w:tc>
          <w:tcPr>
            <w:tcW w:w="177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退役士兵工作；组织、指导退役士兵管理教育、职业技能培训、就业服务创业服务工作；教育培训补助</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本辖区退役士兵参加培训情况</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教育培训补助人数占应补助人数的比例</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48"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本辖区退役士兵报到情况</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退役士兵自谋职业补助人数占该总人数的比例</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537"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退役士兵数据信息、优抚数据信息管理维护宣传材料制作确保各项业务工作正常需要</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退役士兵信息采集</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完成规定内容</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78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0</w:t>
            </w:r>
          </w:p>
        </w:tc>
        <w:tc>
          <w:tcPr>
            <w:tcW w:w="177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优抚对象满意度</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通过调查、了解，优抚对象满意程度</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441"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kern w:val="0"/>
                <w:sz w:val="15"/>
                <w:szCs w:val="15"/>
                <w:lang w:val="en-US" w:eastAsia="zh-CN"/>
              </w:rPr>
              <w:t>42</w:t>
            </w:r>
          </w:p>
        </w:tc>
        <w:tc>
          <w:tcPr>
            <w:tcW w:w="177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拥军优属慰问活动慰问驻地部队单位个数</w:t>
            </w:r>
          </w:p>
        </w:tc>
        <w:tc>
          <w:tcPr>
            <w:tcW w:w="26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做好八一、春节期间走访慰问活动</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慰问驻地部队个数</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大于等于2个</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5"/>
                <w:szCs w:val="15"/>
              </w:rPr>
            </w:pP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5"/>
                <w:szCs w:val="15"/>
              </w:rPr>
            </w:pP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小于2个</w:t>
            </w:r>
          </w:p>
        </w:tc>
      </w:tr>
      <w:tr>
        <w:tblPrEx>
          <w:tblCellMar>
            <w:top w:w="0" w:type="dxa"/>
            <w:left w:w="0" w:type="dxa"/>
            <w:bottom w:w="0" w:type="dxa"/>
            <w:right w:w="0" w:type="dxa"/>
          </w:tblCellMar>
        </w:tblPrEx>
        <w:trPr>
          <w:trHeight w:val="389"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5"/>
                <w:szCs w:val="15"/>
              </w:rPr>
            </w:pPr>
          </w:p>
        </w:tc>
        <w:tc>
          <w:tcPr>
            <w:tcW w:w="177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left"/>
              <w:rPr>
                <w:rFonts w:ascii="宋体" w:hAnsi="宋体" w:cs="宋体"/>
                <w:color w:val="000000"/>
                <w:sz w:val="15"/>
                <w:szCs w:val="15"/>
              </w:rPr>
            </w:pPr>
          </w:p>
        </w:tc>
        <w:tc>
          <w:tcPr>
            <w:tcW w:w="26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5"/>
                <w:szCs w:val="15"/>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重点慰问对象满意率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7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lang w:val="en-US" w:eastAsia="zh-CN"/>
              </w:rPr>
              <w:t>500</w:t>
            </w:r>
          </w:p>
        </w:tc>
        <w:tc>
          <w:tcPr>
            <w:tcW w:w="17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15"/>
                <w:szCs w:val="15"/>
                <w:lang w:eastAsia="zh-CN"/>
              </w:rPr>
            </w:pPr>
            <w:r>
              <w:rPr>
                <w:rFonts w:hint="eastAsia" w:ascii="宋体" w:hAnsi="宋体" w:cs="宋体"/>
                <w:color w:val="000000"/>
                <w:kern w:val="0"/>
                <w:sz w:val="15"/>
                <w:szCs w:val="15"/>
                <w:lang w:eastAsia="zh-CN"/>
              </w:rPr>
              <w:t>退役军人关爱基金</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15"/>
                <w:szCs w:val="15"/>
                <w:lang w:eastAsia="zh-CN"/>
              </w:rPr>
            </w:pPr>
            <w:r>
              <w:rPr>
                <w:rFonts w:hint="eastAsia" w:ascii="宋体" w:hAnsi="宋体" w:cs="宋体"/>
                <w:color w:val="000000"/>
                <w:kern w:val="0"/>
                <w:sz w:val="15"/>
                <w:szCs w:val="15"/>
                <w:lang w:eastAsia="zh-CN"/>
              </w:rPr>
              <w:t>按规定做好帮助解决退役军人实际生活困难工作</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15"/>
                <w:szCs w:val="15"/>
                <w:lang w:eastAsia="zh-CN"/>
              </w:rPr>
            </w:pPr>
            <w:r>
              <w:rPr>
                <w:rFonts w:hint="eastAsia" w:ascii="宋体" w:hAnsi="宋体" w:cs="宋体"/>
                <w:color w:val="000000"/>
                <w:kern w:val="0"/>
                <w:sz w:val="15"/>
                <w:szCs w:val="15"/>
                <w:lang w:eastAsia="zh-CN"/>
              </w:rPr>
              <w:t>困难退役军人中接受资助人数覆盖率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100%</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670"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5"/>
                <w:szCs w:val="15"/>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color w:val="000000"/>
                <w:sz w:val="15"/>
                <w:szCs w:val="15"/>
                <w:lang w:val="en-US" w:eastAsia="zh-CN"/>
              </w:rPr>
            </w:pPr>
            <w:r>
              <w:rPr>
                <w:rFonts w:hint="eastAsia" w:ascii="宋体" w:hAnsi="宋体" w:cs="宋体"/>
                <w:color w:val="000000"/>
                <w:kern w:val="0"/>
                <w:sz w:val="15"/>
                <w:szCs w:val="15"/>
              </w:rPr>
              <w:t>3</w:t>
            </w:r>
            <w:r>
              <w:rPr>
                <w:rFonts w:hint="eastAsia" w:ascii="宋体" w:hAnsi="宋体" w:cs="宋体"/>
                <w:color w:val="000000"/>
                <w:kern w:val="0"/>
                <w:sz w:val="15"/>
                <w:szCs w:val="15"/>
                <w:lang w:val="en-US" w:eastAsia="zh-CN"/>
              </w:rPr>
              <w:t>5</w:t>
            </w:r>
          </w:p>
        </w:tc>
        <w:tc>
          <w:tcPr>
            <w:tcW w:w="177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来信信访问题解决处理完成情况</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信访答复满意度</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通过调查、了解，解决诉求满意程度</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758" w:hRule="atLeast"/>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负责各类综合性文字工作、会议组织、培训、各类宣传资料制作、调研工作；负责档案管理、保密、印章管理、车辆使用管理；办公用品采购 （设备及办公耗材）；公务接待、财务等工作。完成上级领导交办的其他工作。</w:t>
            </w:r>
          </w:p>
        </w:tc>
        <w:tc>
          <w:tcPr>
            <w:tcW w:w="120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5"/>
                <w:szCs w:val="15"/>
                <w:lang w:val="en-US" w:eastAsia="zh-CN"/>
              </w:rPr>
            </w:pPr>
            <w:r>
              <w:rPr>
                <w:rFonts w:hint="eastAsia" w:ascii="宋体" w:hAnsi="宋体" w:cs="宋体"/>
                <w:color w:val="000000"/>
                <w:kern w:val="0"/>
                <w:sz w:val="15"/>
                <w:szCs w:val="15"/>
              </w:rPr>
              <w:t>人员经费</w:t>
            </w:r>
            <w:r>
              <w:rPr>
                <w:rFonts w:hint="eastAsia" w:ascii="宋体" w:hAnsi="宋体" w:cs="宋体"/>
                <w:color w:val="000000"/>
                <w:kern w:val="0"/>
                <w:sz w:val="15"/>
                <w:szCs w:val="15"/>
                <w:lang w:val="en-US" w:eastAsia="zh-CN"/>
              </w:rPr>
              <w:t>63.85</w:t>
            </w:r>
            <w:r>
              <w:rPr>
                <w:rFonts w:hint="eastAsia" w:ascii="宋体" w:hAnsi="宋体" w:cs="宋体"/>
                <w:color w:val="000000"/>
                <w:kern w:val="0"/>
                <w:sz w:val="15"/>
                <w:szCs w:val="15"/>
              </w:rPr>
              <w:t>，日常公用经费</w:t>
            </w:r>
            <w:r>
              <w:rPr>
                <w:rFonts w:hint="eastAsia" w:ascii="宋体" w:hAnsi="宋体" w:cs="宋体"/>
                <w:color w:val="000000"/>
                <w:kern w:val="0"/>
                <w:sz w:val="15"/>
                <w:szCs w:val="15"/>
                <w:lang w:val="en-US" w:eastAsia="zh-CN"/>
              </w:rPr>
              <w:t>8.64</w:t>
            </w:r>
          </w:p>
        </w:tc>
        <w:tc>
          <w:tcPr>
            <w:tcW w:w="177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rPr>
              <w:t>按工作计划做好优待证打印、政策宣传、租车及相关车辆维修保证车辆正常运转、采购办公用品等综合业务管理。</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购买办公用品质量情况</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购买办公用品质量合格率</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tr>
        <w:tblPrEx>
          <w:tblCellMar>
            <w:top w:w="0" w:type="dxa"/>
            <w:left w:w="0" w:type="dxa"/>
            <w:bottom w:w="0" w:type="dxa"/>
            <w:right w:w="0" w:type="dxa"/>
          </w:tblCellMar>
        </w:tblPrEx>
        <w:trPr>
          <w:trHeight w:val="1525" w:hRule="atLeast"/>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5"/>
                <w:szCs w:val="15"/>
              </w:rPr>
            </w:pPr>
          </w:p>
        </w:tc>
        <w:tc>
          <w:tcPr>
            <w:tcW w:w="120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5"/>
                <w:szCs w:val="15"/>
              </w:rPr>
            </w:pPr>
          </w:p>
        </w:tc>
        <w:tc>
          <w:tcPr>
            <w:tcW w:w="177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15"/>
                <w:szCs w:val="15"/>
              </w:rPr>
            </w:pP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做好中心公务运转相关工作</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对出车情况满意度</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95%以上</w:t>
            </w:r>
          </w:p>
        </w:tc>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80%以上</w:t>
            </w:r>
          </w:p>
        </w:tc>
        <w:tc>
          <w:tcPr>
            <w:tcW w:w="7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70%以上</w:t>
            </w:r>
          </w:p>
        </w:tc>
        <w:tc>
          <w:tcPr>
            <w:tcW w:w="1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60%以下</w:t>
            </w:r>
          </w:p>
        </w:tc>
      </w:tr>
      <w:bookmarkEnd w:id="0"/>
    </w:tbl>
    <w:p>
      <w:pPr>
        <w:autoSpaceDE w:val="0"/>
        <w:autoSpaceDN w:val="0"/>
        <w:adjustRightInd w:val="0"/>
        <w:rPr>
          <w:rFonts w:ascii="Times New Roman" w:hAnsi="Times New Roman" w:eastAsia="仿宋" w:cs="Times New Roman"/>
          <w:b/>
          <w:sz w:val="32"/>
          <w:szCs w:val="32"/>
        </w:rPr>
      </w:pPr>
    </w:p>
    <w:p>
      <w:pPr>
        <w:autoSpaceDE w:val="0"/>
        <w:autoSpaceDN w:val="0"/>
        <w:adjustRightInd w:val="0"/>
        <w:rPr>
          <w:rFonts w:ascii="黑体" w:hAnsi="黑体" w:eastAsia="黑体" w:cs="Times New Roman"/>
          <w:sz w:val="32"/>
          <w:szCs w:val="32"/>
        </w:rPr>
      </w:pPr>
      <w:r>
        <w:rPr>
          <w:rFonts w:hint="eastAsia" w:ascii="Times New Roman" w:hAnsi="Times New Roman" w:eastAsia="仿宋" w:cs="Times New Roman"/>
          <w:b/>
          <w:sz w:val="32"/>
          <w:szCs w:val="32"/>
        </w:rPr>
        <w:t xml:space="preserve">    </w:t>
      </w:r>
      <w:r>
        <w:rPr>
          <w:rFonts w:hint="eastAsia" w:ascii="黑体" w:hAnsi="黑体" w:eastAsia="黑体" w:cs="Times New Roman"/>
          <w:sz w:val="32"/>
          <w:szCs w:val="32"/>
          <w:lang w:eastAsia="zh-CN"/>
        </w:rPr>
        <w:t>七</w:t>
      </w:r>
      <w:r>
        <w:rPr>
          <w:rFonts w:hint="eastAsia" w:ascii="黑体" w:hAnsi="黑体" w:eastAsia="黑体" w:cs="Times New Roman"/>
          <w:sz w:val="32"/>
          <w:szCs w:val="32"/>
        </w:rPr>
        <w:t>、政府采购预算情况</w:t>
      </w:r>
    </w:p>
    <w:p>
      <w:pPr>
        <w:ind w:firstLine="640" w:firstLineChars="200"/>
        <w:outlineLvl w:val="0"/>
        <w:rPr>
          <w:rFonts w:ascii="Times New Roman" w:hAnsi="Times New Roman" w:eastAsia="仿宋" w:cs="Times New Roman"/>
          <w:sz w:val="32"/>
          <w:szCs w:val="24"/>
        </w:rPr>
      </w:pPr>
      <w:bookmarkStart w:id="1" w:name="_Toc471398468"/>
      <w:r>
        <w:rPr>
          <w:rFonts w:ascii="Times New Roman" w:hAnsi="Times New Roman" w:eastAsia="仿宋" w:cs="Times New Roman"/>
          <w:sz w:val="32"/>
          <w:szCs w:val="24"/>
        </w:rPr>
        <w:t xml:space="preserve"> </w:t>
      </w:r>
      <w:r>
        <w:rPr>
          <w:rFonts w:hint="eastAsia" w:ascii="Times New Roman" w:hAnsi="Times New Roman" w:eastAsia="仿宋" w:cs="Times New Roman"/>
          <w:sz w:val="32"/>
          <w:szCs w:val="24"/>
          <w:lang w:val="en-US" w:eastAsia="zh-CN"/>
        </w:rPr>
        <w:t>2020</w:t>
      </w:r>
      <w:r>
        <w:rPr>
          <w:rFonts w:ascii="Times New Roman" w:hAnsi="Times New Roman" w:eastAsia="仿宋" w:cs="Times New Roman"/>
          <w:sz w:val="32"/>
          <w:szCs w:val="24"/>
        </w:rPr>
        <w:t>年，</w:t>
      </w:r>
      <w:r>
        <w:rPr>
          <w:rFonts w:hint="eastAsia" w:ascii="Times New Roman" w:hAnsi="Times New Roman" w:eastAsia="仿宋" w:cs="Times New Roman"/>
          <w:sz w:val="32"/>
          <w:szCs w:val="24"/>
        </w:rPr>
        <w:t>我部门</w:t>
      </w:r>
      <w:r>
        <w:rPr>
          <w:rFonts w:hint="eastAsia" w:ascii="Times New Roman" w:hAnsi="Times New Roman" w:eastAsia="仿宋" w:cs="Times New Roman"/>
          <w:sz w:val="32"/>
          <w:szCs w:val="24"/>
          <w:lang w:eastAsia="zh-CN"/>
        </w:rPr>
        <w:t>未</w:t>
      </w:r>
      <w:r>
        <w:rPr>
          <w:rFonts w:ascii="Times New Roman" w:hAnsi="Times New Roman" w:eastAsia="仿宋" w:cs="Times New Roman"/>
          <w:sz w:val="32"/>
          <w:szCs w:val="24"/>
        </w:rPr>
        <w:t>安排政府采购预算。</w:t>
      </w:r>
      <w:bookmarkEnd w:id="1"/>
    </w:p>
    <w:p>
      <w:pPr>
        <w:ind w:firstLine="640" w:firstLineChars="200"/>
        <w:outlineLvl w:val="0"/>
        <w:rPr>
          <w:rFonts w:ascii="黑体" w:hAnsi="黑体" w:eastAsia="黑体" w:cs="Times New Roman"/>
          <w:b/>
          <w:bCs/>
          <w:sz w:val="32"/>
          <w:szCs w:val="32"/>
        </w:rPr>
      </w:pPr>
      <w:r>
        <w:rPr>
          <w:rFonts w:hint="eastAsia" w:ascii="黑体" w:hAnsi="黑体" w:eastAsia="黑体" w:cs="黑体"/>
          <w:b w:val="0"/>
          <w:bCs w:val="0"/>
          <w:sz w:val="32"/>
          <w:szCs w:val="24"/>
          <w:lang w:eastAsia="zh-CN"/>
        </w:rPr>
        <w:t>八、</w:t>
      </w:r>
      <w:r>
        <w:rPr>
          <w:rFonts w:hint="eastAsia" w:ascii="黑体" w:hAnsi="黑体" w:eastAsia="黑体" w:cs="黑体"/>
          <w:b w:val="0"/>
          <w:bCs w:val="0"/>
          <w:sz w:val="32"/>
          <w:szCs w:val="32"/>
        </w:rPr>
        <w:t>国有资产信息</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我单位</w:t>
      </w:r>
      <w:r>
        <w:rPr>
          <w:rFonts w:hint="eastAsia" w:ascii="Times New Roman" w:hAnsi="Times New Roman" w:eastAsia="仿宋" w:cs="Times New Roman"/>
          <w:sz w:val="32"/>
          <w:szCs w:val="24"/>
        </w:rPr>
        <w:t>上年末固定资产原值为</w:t>
      </w:r>
      <w:r>
        <w:rPr>
          <w:rFonts w:hint="eastAsia" w:ascii="Times New Roman" w:hAnsi="Times New Roman" w:eastAsia="仿宋" w:cs="Times New Roman"/>
          <w:sz w:val="32"/>
          <w:szCs w:val="24"/>
          <w:lang w:val="en-US" w:eastAsia="zh-CN"/>
        </w:rPr>
        <w:t>36.21</w:t>
      </w:r>
      <w:r>
        <w:rPr>
          <w:rFonts w:hint="eastAsia" w:ascii="Times New Roman" w:hAnsi="Times New Roman" w:eastAsia="仿宋" w:cs="Times New Roman"/>
          <w:sz w:val="32"/>
          <w:szCs w:val="24"/>
        </w:rPr>
        <w:t>万元（详见下表）固定资产累计折旧</w:t>
      </w:r>
      <w:r>
        <w:rPr>
          <w:rFonts w:hint="eastAsia" w:ascii="Times New Roman" w:hAnsi="Times New Roman" w:eastAsia="仿宋" w:cs="Times New Roman"/>
          <w:sz w:val="32"/>
          <w:szCs w:val="24"/>
          <w:lang w:val="en-US" w:eastAsia="zh-CN"/>
        </w:rPr>
        <w:t>3.32</w:t>
      </w:r>
      <w:r>
        <w:rPr>
          <w:rFonts w:hint="eastAsia" w:ascii="Times New Roman" w:hAnsi="Times New Roman" w:eastAsia="仿宋" w:cs="Times New Roman"/>
          <w:sz w:val="32"/>
          <w:szCs w:val="24"/>
        </w:rPr>
        <w:t>万元 ，固定资产净值</w:t>
      </w:r>
      <w:r>
        <w:rPr>
          <w:rFonts w:hint="eastAsia" w:ascii="Times New Roman" w:hAnsi="Times New Roman" w:eastAsia="仿宋" w:cs="Times New Roman"/>
          <w:sz w:val="32"/>
          <w:szCs w:val="24"/>
          <w:lang w:val="en-US" w:eastAsia="zh-CN"/>
        </w:rPr>
        <w:t>32.88</w:t>
      </w:r>
      <w:r>
        <w:rPr>
          <w:rFonts w:hint="eastAsia" w:ascii="Times New Roman" w:hAnsi="Times New Roman" w:eastAsia="仿宋" w:cs="Times New Roman"/>
          <w:sz w:val="32"/>
          <w:szCs w:val="24"/>
        </w:rPr>
        <w:t>万元，主要为计算机、一体机、笔记本电脑、录音笔、照相机、办公家具等</w:t>
      </w:r>
      <w:r>
        <w:rPr>
          <w:rFonts w:hint="eastAsia" w:ascii="Times New Roman" w:hAnsi="Times New Roman" w:eastAsia="仿宋" w:cs="Times New Roman"/>
          <w:sz w:val="32"/>
          <w:szCs w:val="24"/>
          <w:lang w:eastAsia="zh-CN"/>
        </w:rPr>
        <w:t>，</w:t>
      </w:r>
      <w:r>
        <w:rPr>
          <w:rFonts w:hint="eastAsia" w:ascii="Times New Roman" w:hAnsi="Times New Roman" w:eastAsia="仿宋" w:cs="Times New Roman"/>
          <w:sz w:val="32"/>
          <w:szCs w:val="32"/>
        </w:rPr>
        <w:t>已列入政府采购预算，详见政府采购预算表。</w:t>
      </w:r>
    </w:p>
    <w:tbl>
      <w:tblPr>
        <w:tblStyle w:val="9"/>
        <w:tblpPr w:leftFromText="180" w:rightFromText="180" w:vertAnchor="text" w:horzAnchor="page" w:tblpX="1538" w:tblpY="156"/>
        <w:tblOverlap w:val="never"/>
        <w:tblW w:w="13482" w:type="dxa"/>
        <w:tblInd w:w="0"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sz w:val="32"/>
                <w:szCs w:val="32"/>
              </w:rPr>
            </w:pPr>
            <w:r>
              <w:rPr>
                <w:rFonts w:hint="eastAsia" w:ascii="宋体" w:hAnsi="宋体" w:cs="宋体"/>
                <w:b/>
                <w:bCs/>
                <w:sz w:val="32"/>
                <w:szCs w:val="32"/>
              </w:rPr>
              <w:t>承德高新区区直部门固定资产占用情况表</w:t>
            </w:r>
          </w:p>
        </w:tc>
      </w:tr>
      <w:tr>
        <w:tblPrEx>
          <w:tblCellMar>
            <w:top w:w="0" w:type="dxa"/>
            <w:left w:w="108" w:type="dxa"/>
            <w:bottom w:w="0" w:type="dxa"/>
            <w:right w:w="108" w:type="dxa"/>
          </w:tblCellMar>
        </w:tblPrEx>
        <w:trPr>
          <w:trHeight w:val="90" w:hRule="atLeast"/>
        </w:trPr>
        <w:tc>
          <w:tcPr>
            <w:tcW w:w="8379" w:type="dxa"/>
            <w:gridSpan w:val="2"/>
            <w:tcBorders>
              <w:top w:val="nil"/>
              <w:left w:val="nil"/>
              <w:bottom w:val="nil"/>
              <w:right w:val="nil"/>
            </w:tcBorders>
            <w:vAlign w:val="center"/>
          </w:tcPr>
          <w:p>
            <w:pPr>
              <w:widowControl/>
              <w:rPr>
                <w:rFonts w:ascii="宋体" w:hAnsi="宋体" w:cs="宋体"/>
              </w:rPr>
            </w:pPr>
            <w:r>
              <w:rPr>
                <w:rFonts w:hint="eastAsia" w:ascii="宋体" w:hAnsi="宋体" w:cs="宋体"/>
              </w:rPr>
              <w:t>编制部门：承德高新区退役军人管理服务中心</w:t>
            </w:r>
          </w:p>
        </w:tc>
        <w:tc>
          <w:tcPr>
            <w:tcW w:w="5103" w:type="dxa"/>
            <w:tcBorders>
              <w:top w:val="nil"/>
              <w:left w:val="nil"/>
              <w:bottom w:val="nil"/>
              <w:right w:val="nil"/>
            </w:tcBorders>
            <w:vAlign w:val="center"/>
          </w:tcPr>
          <w:p>
            <w:pPr>
              <w:widowControl/>
              <w:rPr>
                <w:rFonts w:ascii="宋体" w:hAnsi="宋体" w:cs="宋体"/>
              </w:rPr>
            </w:pPr>
            <w:r>
              <w:rPr>
                <w:rFonts w:hint="eastAsia" w:ascii="宋体" w:hAnsi="宋体" w:cs="宋体"/>
              </w:rPr>
              <w:t>截止时间：201</w:t>
            </w:r>
            <w:r>
              <w:rPr>
                <w:rFonts w:hint="eastAsia" w:ascii="宋体" w:hAnsi="宋体" w:cs="宋体"/>
                <w:lang w:val="en-US" w:eastAsia="zh-CN"/>
              </w:rPr>
              <w:t>9</w:t>
            </w:r>
            <w:r>
              <w:rPr>
                <w:rFonts w:hint="eastAsia" w:ascii="宋体" w:hAnsi="宋体" w:cs="宋体"/>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rPr>
            </w:pPr>
            <w:r>
              <w:rPr>
                <w:rFonts w:hint="eastAsia" w:ascii="宋体" w:hAnsi="宋体" w:cs="宋体"/>
                <w:b/>
                <w:bCs/>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rPr>
            </w:pPr>
            <w:r>
              <w:rPr>
                <w:rFonts w:hint="eastAsia" w:ascii="宋体" w:hAnsi="宋体" w:cs="宋体"/>
                <w:b/>
                <w:bCs/>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rPr>
            </w:pPr>
            <w:r>
              <w:rPr>
                <w:rFonts w:hint="eastAsia" w:ascii="宋体" w:hAnsi="宋体" w:cs="宋体"/>
                <w:b/>
                <w:bCs/>
              </w:rPr>
              <w:t>价值（金额单位：万元）</w:t>
            </w:r>
          </w:p>
        </w:tc>
      </w:tr>
      <w:tr>
        <w:tblPrEx>
          <w:tblCellMar>
            <w:top w:w="0" w:type="dxa"/>
            <w:left w:w="108" w:type="dxa"/>
            <w:bottom w:w="0" w:type="dxa"/>
            <w:right w:w="108" w:type="dxa"/>
          </w:tblCellMar>
        </w:tblPrEx>
        <w:trPr>
          <w:trHeight w:val="45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rPr>
            </w:pPr>
            <w:r>
              <w:rPr>
                <w:rFonts w:hint="eastAsia" w:ascii="宋体" w:hAnsi="宋体" w:cs="宋体"/>
              </w:rPr>
              <w:t>资产总额</w:t>
            </w:r>
          </w:p>
        </w:tc>
        <w:tc>
          <w:tcPr>
            <w:tcW w:w="3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rPr>
              <w:t>——</w:t>
            </w:r>
          </w:p>
        </w:tc>
        <w:tc>
          <w:tcPr>
            <w:tcW w:w="51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r>
      <w:tr>
        <w:tblPrEx>
          <w:tblCellMar>
            <w:top w:w="0" w:type="dxa"/>
            <w:left w:w="108" w:type="dxa"/>
            <w:bottom w:w="0" w:type="dxa"/>
            <w:right w:w="108" w:type="dxa"/>
          </w:tblCellMar>
        </w:tblPrEx>
        <w:trPr>
          <w:trHeight w:val="502"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1、房屋（平方米）</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CellMar>
            <w:top w:w="0" w:type="dxa"/>
            <w:left w:w="108" w:type="dxa"/>
            <w:bottom w:w="0" w:type="dxa"/>
            <w:right w:w="108" w:type="dxa"/>
          </w:tblCellMar>
        </w:tblPrEx>
        <w:trPr>
          <w:trHeight w:val="482" w:hRule="exact"/>
        </w:trPr>
        <w:tc>
          <w:tcPr>
            <w:tcW w:w="5224" w:type="dxa"/>
            <w:tcBorders>
              <w:top w:val="nil"/>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 xml:space="preserve">   其中：办公用房（平方米）</w:t>
            </w:r>
          </w:p>
        </w:tc>
        <w:tc>
          <w:tcPr>
            <w:tcW w:w="3155" w:type="dxa"/>
            <w:tcBorders>
              <w:top w:val="nil"/>
              <w:left w:val="nil"/>
              <w:bottom w:val="single" w:color="auto" w:sz="4" w:space="0"/>
              <w:right w:val="single" w:color="auto" w:sz="4" w:space="0"/>
            </w:tcBorders>
            <w:vAlign w:val="center"/>
          </w:tcPr>
          <w:p>
            <w:pPr>
              <w:jc w:val="center"/>
              <w:rPr>
                <w:rFonts w:ascii="宋体" w:hAnsi="宋体" w:cs="宋体"/>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rPr>
            </w:pPr>
          </w:p>
        </w:tc>
      </w:tr>
      <w:tr>
        <w:tblPrEx>
          <w:tblCellMar>
            <w:top w:w="0" w:type="dxa"/>
            <w:left w:w="108" w:type="dxa"/>
            <w:bottom w:w="0" w:type="dxa"/>
            <w:right w:w="108" w:type="dxa"/>
          </w:tblCellMar>
        </w:tblPrEx>
        <w:trPr>
          <w:trHeight w:val="467" w:hRule="exact"/>
        </w:trPr>
        <w:tc>
          <w:tcPr>
            <w:tcW w:w="5224" w:type="dxa"/>
            <w:tcBorders>
              <w:top w:val="nil"/>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2、车辆（台、辆）</w:t>
            </w:r>
          </w:p>
        </w:tc>
        <w:tc>
          <w:tcPr>
            <w:tcW w:w="3155" w:type="dxa"/>
            <w:tcBorders>
              <w:top w:val="nil"/>
              <w:left w:val="nil"/>
              <w:bottom w:val="single" w:color="auto" w:sz="4" w:space="0"/>
              <w:right w:val="single" w:color="auto" w:sz="4" w:space="0"/>
            </w:tcBorders>
            <w:vAlign w:val="center"/>
          </w:tcPr>
          <w:p>
            <w:pPr>
              <w:jc w:val="center"/>
              <w:rPr>
                <w:rFonts w:ascii="宋体" w:hAnsi="宋体" w:cs="宋体"/>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3、单价在20万元以上的设备</w:t>
            </w:r>
          </w:p>
        </w:tc>
        <w:tc>
          <w:tcPr>
            <w:tcW w:w="315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rPr>
              <w:t>　</w:t>
            </w:r>
          </w:p>
        </w:tc>
        <w:tc>
          <w:tcPr>
            <w:tcW w:w="5103" w:type="dxa"/>
            <w:tcBorders>
              <w:top w:val="nil"/>
              <w:left w:val="nil"/>
              <w:bottom w:val="single" w:color="auto" w:sz="4" w:space="0"/>
              <w:right w:val="single" w:color="auto" w:sz="4" w:space="0"/>
            </w:tcBorders>
            <w:vAlign w:val="center"/>
          </w:tcPr>
          <w:p>
            <w:pPr>
              <w:jc w:val="center"/>
              <w:rPr>
                <w:rFonts w:ascii="宋体" w:hAnsi="宋体" w:cs="宋体"/>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rPr>
              <w:t>4、其他固定资产</w:t>
            </w:r>
          </w:p>
        </w:tc>
        <w:tc>
          <w:tcPr>
            <w:tcW w:w="3155" w:type="dxa"/>
            <w:tcBorders>
              <w:top w:val="nil"/>
              <w:left w:val="nil"/>
              <w:bottom w:val="single" w:color="auto" w:sz="4" w:space="0"/>
              <w:right w:val="single" w:color="auto" w:sz="4" w:space="0"/>
            </w:tcBorders>
            <w:vAlign w:val="center"/>
          </w:tcPr>
          <w:p>
            <w:pPr>
              <w:jc w:val="center"/>
              <w:rPr>
                <w:rFonts w:ascii="宋体" w:hAnsi="宋体" w:cs="宋体"/>
              </w:rPr>
            </w:pPr>
            <w:r>
              <w:rPr>
                <w:rFonts w:hint="eastAsia"/>
              </w:rPr>
              <w:t>　</w:t>
            </w:r>
          </w:p>
        </w:tc>
        <w:tc>
          <w:tcPr>
            <w:tcW w:w="5103" w:type="dxa"/>
            <w:tcBorders>
              <w:top w:val="nil"/>
              <w:left w:val="nil"/>
              <w:bottom w:val="single" w:color="auto" w:sz="4" w:space="0"/>
              <w:right w:val="single" w:color="auto" w:sz="4" w:space="0"/>
            </w:tcBorders>
            <w:vAlign w:val="center"/>
          </w:tcPr>
          <w:p>
            <w:pPr>
              <w:jc w:val="center"/>
              <w:rPr>
                <w:rFonts w:hint="eastAsia" w:ascii="宋体" w:hAnsi="宋体" w:eastAsia="宋体" w:cs="宋体"/>
                <w:lang w:val="en-US" w:eastAsia="zh-CN"/>
              </w:rPr>
            </w:pPr>
            <w:r>
              <w:rPr>
                <w:rFonts w:hint="eastAsia" w:ascii="宋体" w:hAnsi="宋体"/>
                <w:lang w:val="en-US" w:eastAsia="zh-CN"/>
              </w:rPr>
              <w:t>36.21</w:t>
            </w:r>
          </w:p>
        </w:tc>
      </w:tr>
    </w:tbl>
    <w:p>
      <w:pPr>
        <w:ind w:firstLine="640"/>
        <w:outlineLvl w:val="0"/>
        <w:rPr>
          <w:rFonts w:ascii="Times New Roman" w:hAnsi="Times New Roman" w:eastAsia="仿宋" w:cs="Times New Roman"/>
          <w:sz w:val="32"/>
          <w:szCs w:val="24"/>
        </w:rPr>
      </w:pPr>
    </w:p>
    <w:p>
      <w:pPr>
        <w:autoSpaceDE w:val="0"/>
        <w:autoSpaceDN w:val="0"/>
        <w:adjustRightInd w:val="0"/>
        <w:spacing w:line="40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lang w:eastAsia="zh-CN"/>
        </w:rPr>
        <w:t>九</w:t>
      </w:r>
      <w:r>
        <w:rPr>
          <w:rFonts w:hint="eastAsia" w:ascii="黑体" w:hAnsi="黑体" w:eastAsia="黑体" w:cs="Times New Roman"/>
          <w:sz w:val="32"/>
          <w:szCs w:val="32"/>
        </w:rPr>
        <w:t>、名词解释</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基本支出：</w:t>
      </w:r>
      <w:r>
        <w:rPr>
          <w:rFonts w:hint="eastAsia" w:ascii="仿宋" w:hAnsi="仿宋" w:eastAsia="仿宋"/>
          <w:sz w:val="32"/>
          <w:szCs w:val="32"/>
        </w:rPr>
        <w:t>行政事业单位为保障其机构正常运转、完成日常工作任务而编制的年度基本支出计划，包括人员经费（工资福利支出及对个人和家庭补助支出）和公用经费。</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工资福利性支出：</w:t>
      </w:r>
      <w:r>
        <w:rPr>
          <w:rFonts w:hint="eastAsia" w:ascii="仿宋" w:hAnsi="仿宋" w:eastAsia="仿宋"/>
          <w:sz w:val="32"/>
          <w:szCs w:val="32"/>
        </w:rPr>
        <w:t>单位开支的在职职工（含编内实有人员和长期聘用人员）各类劳动报酬以及缴纳的各项社会保险费支出等。</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对个人和家庭补助支出</w:t>
      </w:r>
      <w:r>
        <w:rPr>
          <w:rFonts w:hint="eastAsia" w:ascii="仿宋" w:hAnsi="仿宋" w:eastAsia="仿宋"/>
          <w:sz w:val="32"/>
          <w:szCs w:val="32"/>
        </w:rPr>
        <w:t>：单位开支用于个人和家庭的补助支出，具体包括离退休人员经费、退职费、住房公积金、抚恤等。</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公用经费</w:t>
      </w:r>
      <w:r>
        <w:rPr>
          <w:rFonts w:hint="eastAsia" w:ascii="仿宋" w:hAnsi="仿宋" w:eastAsia="仿宋"/>
          <w:sz w:val="32"/>
          <w:szCs w:val="32"/>
        </w:rPr>
        <w:t>：包括公用综合定额经费、物业管理费、水电费、公务用车运行维护费、公务用车购置费以及工会经费等。</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项目支出：</w:t>
      </w:r>
      <w:r>
        <w:rPr>
          <w:rFonts w:hint="eastAsia" w:ascii="仿宋" w:hAnsi="仿宋" w:eastAsia="仿宋"/>
          <w:sz w:val="32"/>
          <w:szCs w:val="32"/>
        </w:rPr>
        <w:t>行政事业单位为完成其特定工作任务或事业发展目标编制的年度项目支出计划，包括：一般性项目支出、专项性项目支出（财政专项资金、政府性基金）、政府投资项目支出和上级补助项目支出。</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财政预算拨款（补助）</w:t>
      </w:r>
      <w:r>
        <w:rPr>
          <w:rFonts w:hint="eastAsia" w:ascii="仿宋" w:hAnsi="仿宋" w:eastAsia="仿宋"/>
          <w:sz w:val="32"/>
          <w:szCs w:val="32"/>
        </w:rPr>
        <w:t>：包括公共财政预算拨款、政府性基金预算拨款和财政专户拨款。</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事业收入：</w:t>
      </w:r>
      <w:r>
        <w:rPr>
          <w:rFonts w:hint="eastAsia" w:ascii="仿宋" w:hAnsi="仿宋" w:eastAsia="仿宋"/>
          <w:sz w:val="32"/>
          <w:szCs w:val="32"/>
        </w:rPr>
        <w:t>事业单位开展专业业务活动及其辅助活动取得的经核准不上缴国库或财政专户的资金和从财政专户核拨返还给事业单位的资金。</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事业单位经营收入：</w:t>
      </w:r>
      <w:r>
        <w:rPr>
          <w:rFonts w:hint="eastAsia" w:ascii="仿宋" w:hAnsi="仿宋" w:eastAsia="仿宋"/>
          <w:sz w:val="32"/>
          <w:szCs w:val="32"/>
        </w:rPr>
        <w:t>事业单位在专业业务活动及辅助活动之外开展非独立核算经营活动取得的收入。包括从财政专户核拨返还给事业单位的经营收入。</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其他收入：</w:t>
      </w:r>
      <w:r>
        <w:rPr>
          <w:rFonts w:hint="eastAsia" w:ascii="仿宋" w:hAnsi="仿宋" w:eastAsia="仿宋"/>
          <w:sz w:val="32"/>
          <w:szCs w:val="32"/>
        </w:rPr>
        <w:t>预算单位取得的除上述规定以外的各项收入。</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上级补助收入：</w:t>
      </w:r>
      <w:r>
        <w:rPr>
          <w:rFonts w:hint="eastAsia" w:ascii="仿宋" w:hAnsi="仿宋" w:eastAsia="仿宋"/>
          <w:sz w:val="32"/>
          <w:szCs w:val="32"/>
        </w:rPr>
        <w:t>单位从主管部门和上级单位取得的非财政补助收入。</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附属单位上缴收入</w:t>
      </w:r>
      <w:r>
        <w:rPr>
          <w:rFonts w:hint="eastAsia" w:ascii="仿宋" w:hAnsi="仿宋" w:eastAsia="仿宋"/>
          <w:sz w:val="32"/>
          <w:szCs w:val="32"/>
        </w:rPr>
        <w:t>：事业单位附属的独立核算单位按有关规定上缴的收入。</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上年结转（结余）：</w:t>
      </w:r>
      <w:r>
        <w:rPr>
          <w:rFonts w:hint="eastAsia" w:ascii="仿宋" w:hAnsi="仿宋" w:eastAsia="仿宋"/>
          <w:sz w:val="32"/>
          <w:szCs w:val="32"/>
        </w:rPr>
        <w:t>预算单位历年结余经财政部门审核同意在本年使用的资金（预计）数。</w:t>
      </w:r>
    </w:p>
    <w:p>
      <w:pPr>
        <w:numPr>
          <w:ilvl w:val="0"/>
          <w:numId w:val="4"/>
        </w:numPr>
        <w:spacing w:line="400" w:lineRule="exact"/>
        <w:rPr>
          <w:rFonts w:ascii="仿宋" w:hAnsi="仿宋" w:eastAsia="仿宋"/>
          <w:sz w:val="32"/>
          <w:szCs w:val="32"/>
        </w:rPr>
      </w:pPr>
      <w:r>
        <w:rPr>
          <w:rFonts w:hint="eastAsia" w:ascii="仿宋" w:hAnsi="仿宋" w:eastAsia="仿宋"/>
          <w:b/>
          <w:bCs/>
          <w:sz w:val="32"/>
          <w:szCs w:val="32"/>
        </w:rPr>
        <w:t>三公经费：</w:t>
      </w:r>
      <w:r>
        <w:rPr>
          <w:rFonts w:hint="eastAsia" w:ascii="仿宋" w:hAnsi="仿宋" w:eastAsia="仿宋"/>
          <w:sz w:val="32"/>
          <w:szCs w:val="32"/>
        </w:rPr>
        <w:t>包括因公出国（境）经费、公务接待经费和公务用车购置及运行支出（交通费）。</w:t>
      </w:r>
    </w:p>
    <w:p>
      <w:pPr>
        <w:spacing w:line="4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、其他需要说明的事项</w:t>
      </w:r>
    </w:p>
    <w:p>
      <w:pPr>
        <w:spacing w:line="4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p>
      <w:pPr>
        <w:numPr>
          <w:ilvl w:val="0"/>
          <w:numId w:val="0"/>
        </w:numPr>
        <w:spacing w:line="400" w:lineRule="exact"/>
        <w:ind w:firstLine="640" w:firstLineChars="200"/>
        <w:rPr>
          <w:rFonts w:ascii="Times New Roman" w:hAnsi="Times New Roman" w:eastAsia="仿宋" w:cs="Times New Roman"/>
          <w:sz w:val="32"/>
          <w:szCs w:val="32"/>
        </w:rPr>
      </w:pPr>
      <w:r>
        <w:rPr>
          <w:rFonts w:hint="eastAsia" w:ascii="黑体" w:hAnsi="黑体" w:eastAsia="黑体" w:cs="黑体"/>
          <w:b w:val="0"/>
          <w:bCs/>
          <w:sz w:val="32"/>
          <w:szCs w:val="32"/>
          <w:lang w:eastAsia="zh-CN"/>
        </w:rPr>
        <w:t>十一、</w:t>
      </w:r>
      <w:r>
        <w:rPr>
          <w:rFonts w:hint="eastAsia" w:ascii="黑体" w:hAnsi="黑体" w:eastAsia="黑体" w:cs="黑体"/>
          <w:b w:val="0"/>
          <w:bCs/>
          <w:sz w:val="32"/>
          <w:szCs w:val="32"/>
        </w:rPr>
        <w:t>预算批准日为2020年01月23日，批复文件文号承高财发〔2020〕12号文(文件附后）</w:t>
      </w:r>
      <w:r>
        <w:rPr>
          <w:rFonts w:hint="eastAsia" w:ascii="仿宋" w:hAnsi="仿宋" w:eastAsia="仿宋"/>
          <w:b/>
          <w:sz w:val="32"/>
          <w:szCs w:val="32"/>
        </w:rPr>
        <w:t>。</w:t>
      </w: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D4910"/>
    <w:multiLevelType w:val="singleLevel"/>
    <w:tmpl w:val="9AAD4910"/>
    <w:lvl w:ilvl="0" w:tentative="0">
      <w:start w:val="1"/>
      <w:numFmt w:val="decimal"/>
      <w:lvlText w:val="%1."/>
      <w:lvlJc w:val="left"/>
      <w:pPr>
        <w:ind w:left="425" w:hanging="425"/>
      </w:pPr>
      <w:rPr>
        <w:rFonts w:hint="default"/>
      </w:rPr>
    </w:lvl>
  </w:abstractNum>
  <w:abstractNum w:abstractNumId="1">
    <w:nsid w:val="D5AE2B13"/>
    <w:multiLevelType w:val="singleLevel"/>
    <w:tmpl w:val="D5AE2B13"/>
    <w:lvl w:ilvl="0" w:tentative="0">
      <w:start w:val="3"/>
      <w:numFmt w:val="chineseCounting"/>
      <w:suff w:val="nothing"/>
      <w:lvlText w:val="%1、"/>
      <w:lvlJc w:val="left"/>
      <w:pPr>
        <w:ind w:left="800" w:firstLine="0"/>
      </w:pPr>
      <w:rPr>
        <w:rFonts w:hint="eastAsia"/>
      </w:rPr>
    </w:lvl>
  </w:abstractNum>
  <w:abstractNum w:abstractNumId="2">
    <w:nsid w:val="44535A77"/>
    <w:multiLevelType w:val="singleLevel"/>
    <w:tmpl w:val="44535A77"/>
    <w:lvl w:ilvl="0" w:tentative="0">
      <w:start w:val="1"/>
      <w:numFmt w:val="chineseCounting"/>
      <w:suff w:val="nothing"/>
      <w:lvlText w:val="（%1）"/>
      <w:lvlJc w:val="left"/>
      <w:pPr>
        <w:ind w:left="0" w:firstLine="420"/>
      </w:pPr>
      <w:rPr>
        <w:rFonts w:hint="eastAsia"/>
      </w:rPr>
    </w:lvl>
  </w:abstractNum>
  <w:abstractNum w:abstractNumId="3">
    <w:nsid w:val="5E652D26"/>
    <w:multiLevelType w:val="singleLevel"/>
    <w:tmpl w:val="5E652D26"/>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mExODhmY2RjNjdlMTdmZTg2OTBiMzBlMDEyZmIyNTEifQ=="/>
  </w:docVars>
  <w:rsids>
    <w:rsidRoot w:val="0027733F"/>
    <w:rsid w:val="00017D3C"/>
    <w:rsid w:val="0003060F"/>
    <w:rsid w:val="00040FBA"/>
    <w:rsid w:val="0004490B"/>
    <w:rsid w:val="000604DF"/>
    <w:rsid w:val="000A3C1D"/>
    <w:rsid w:val="000B6658"/>
    <w:rsid w:val="0013228E"/>
    <w:rsid w:val="00196105"/>
    <w:rsid w:val="0027733F"/>
    <w:rsid w:val="002E4731"/>
    <w:rsid w:val="003277EC"/>
    <w:rsid w:val="00337F83"/>
    <w:rsid w:val="003A44BE"/>
    <w:rsid w:val="003F2598"/>
    <w:rsid w:val="00456D84"/>
    <w:rsid w:val="0046395D"/>
    <w:rsid w:val="004B33B1"/>
    <w:rsid w:val="004E3D1C"/>
    <w:rsid w:val="005515AE"/>
    <w:rsid w:val="00552A14"/>
    <w:rsid w:val="00557AC1"/>
    <w:rsid w:val="005D1DD1"/>
    <w:rsid w:val="00601755"/>
    <w:rsid w:val="00673503"/>
    <w:rsid w:val="006C73D3"/>
    <w:rsid w:val="006D7083"/>
    <w:rsid w:val="008003BA"/>
    <w:rsid w:val="00817B30"/>
    <w:rsid w:val="008E5223"/>
    <w:rsid w:val="009E1121"/>
    <w:rsid w:val="00A10499"/>
    <w:rsid w:val="00A206C7"/>
    <w:rsid w:val="00AF5E71"/>
    <w:rsid w:val="00BE3FE6"/>
    <w:rsid w:val="00C75203"/>
    <w:rsid w:val="00CE3070"/>
    <w:rsid w:val="00D3303F"/>
    <w:rsid w:val="00DB5B9A"/>
    <w:rsid w:val="00DE7094"/>
    <w:rsid w:val="00E00FB7"/>
    <w:rsid w:val="00E01F64"/>
    <w:rsid w:val="00E17248"/>
    <w:rsid w:val="00E43727"/>
    <w:rsid w:val="00E444E0"/>
    <w:rsid w:val="00F171F2"/>
    <w:rsid w:val="01A44BC6"/>
    <w:rsid w:val="01E045E0"/>
    <w:rsid w:val="03142A1C"/>
    <w:rsid w:val="031C76EF"/>
    <w:rsid w:val="033843D1"/>
    <w:rsid w:val="04092487"/>
    <w:rsid w:val="043157B3"/>
    <w:rsid w:val="049E15EC"/>
    <w:rsid w:val="05353B25"/>
    <w:rsid w:val="056173A5"/>
    <w:rsid w:val="056D4ABC"/>
    <w:rsid w:val="08355DD9"/>
    <w:rsid w:val="0B7B74E7"/>
    <w:rsid w:val="0D896F98"/>
    <w:rsid w:val="0E943987"/>
    <w:rsid w:val="0ECA57A7"/>
    <w:rsid w:val="0ED63E63"/>
    <w:rsid w:val="0FB406BA"/>
    <w:rsid w:val="0FE50D28"/>
    <w:rsid w:val="106F261D"/>
    <w:rsid w:val="10FE1799"/>
    <w:rsid w:val="1683763C"/>
    <w:rsid w:val="17ED1F24"/>
    <w:rsid w:val="18031211"/>
    <w:rsid w:val="1A523BA2"/>
    <w:rsid w:val="1B753A2B"/>
    <w:rsid w:val="1C264233"/>
    <w:rsid w:val="1C525D11"/>
    <w:rsid w:val="1D6A2B73"/>
    <w:rsid w:val="1EAD1E96"/>
    <w:rsid w:val="1F5D15AA"/>
    <w:rsid w:val="20A85FAE"/>
    <w:rsid w:val="2132189B"/>
    <w:rsid w:val="21C80980"/>
    <w:rsid w:val="231F6264"/>
    <w:rsid w:val="24CA2E64"/>
    <w:rsid w:val="2587240D"/>
    <w:rsid w:val="25DF11A8"/>
    <w:rsid w:val="271934A0"/>
    <w:rsid w:val="2A46473C"/>
    <w:rsid w:val="2A8D1490"/>
    <w:rsid w:val="2C9F7083"/>
    <w:rsid w:val="2D473DD9"/>
    <w:rsid w:val="2F4A3AD7"/>
    <w:rsid w:val="2F8F0250"/>
    <w:rsid w:val="30F04EA0"/>
    <w:rsid w:val="316A6708"/>
    <w:rsid w:val="32B33533"/>
    <w:rsid w:val="36CF7452"/>
    <w:rsid w:val="373500F0"/>
    <w:rsid w:val="37402160"/>
    <w:rsid w:val="38605B23"/>
    <w:rsid w:val="3A31056A"/>
    <w:rsid w:val="3B6C576F"/>
    <w:rsid w:val="3BC51BCE"/>
    <w:rsid w:val="3BF065D9"/>
    <w:rsid w:val="3BFC5D9A"/>
    <w:rsid w:val="3CAD7F01"/>
    <w:rsid w:val="3F350ECA"/>
    <w:rsid w:val="3F887C97"/>
    <w:rsid w:val="3F8D0847"/>
    <w:rsid w:val="40E72C80"/>
    <w:rsid w:val="419840A1"/>
    <w:rsid w:val="434F3191"/>
    <w:rsid w:val="437C58AF"/>
    <w:rsid w:val="43FC20B3"/>
    <w:rsid w:val="44130D2C"/>
    <w:rsid w:val="45A04EC6"/>
    <w:rsid w:val="45A4356E"/>
    <w:rsid w:val="4696057A"/>
    <w:rsid w:val="48000454"/>
    <w:rsid w:val="483E430E"/>
    <w:rsid w:val="4845190B"/>
    <w:rsid w:val="491D0027"/>
    <w:rsid w:val="498A5F4C"/>
    <w:rsid w:val="4A68322A"/>
    <w:rsid w:val="4AE0012F"/>
    <w:rsid w:val="4BCA5A40"/>
    <w:rsid w:val="4C5611D2"/>
    <w:rsid w:val="4F645293"/>
    <w:rsid w:val="52091606"/>
    <w:rsid w:val="54507927"/>
    <w:rsid w:val="54B71F37"/>
    <w:rsid w:val="54D11590"/>
    <w:rsid w:val="55AE273C"/>
    <w:rsid w:val="59F761A7"/>
    <w:rsid w:val="59FA22AC"/>
    <w:rsid w:val="5B4F26BB"/>
    <w:rsid w:val="5BA27DBE"/>
    <w:rsid w:val="5C8209F6"/>
    <w:rsid w:val="5D465B69"/>
    <w:rsid w:val="60113A80"/>
    <w:rsid w:val="61491E8A"/>
    <w:rsid w:val="621B13DD"/>
    <w:rsid w:val="622A1E5E"/>
    <w:rsid w:val="628679C0"/>
    <w:rsid w:val="62FC3B03"/>
    <w:rsid w:val="634C102D"/>
    <w:rsid w:val="64016BD3"/>
    <w:rsid w:val="64835039"/>
    <w:rsid w:val="65911D60"/>
    <w:rsid w:val="65F1667F"/>
    <w:rsid w:val="66C653C9"/>
    <w:rsid w:val="68587DFF"/>
    <w:rsid w:val="6866472C"/>
    <w:rsid w:val="68980363"/>
    <w:rsid w:val="68D14D3E"/>
    <w:rsid w:val="6A044B43"/>
    <w:rsid w:val="6AA30B11"/>
    <w:rsid w:val="6BB233B6"/>
    <w:rsid w:val="6BDE6DE2"/>
    <w:rsid w:val="6BF715C6"/>
    <w:rsid w:val="6DF30FC6"/>
    <w:rsid w:val="6E66060A"/>
    <w:rsid w:val="714D7406"/>
    <w:rsid w:val="72282303"/>
    <w:rsid w:val="7250044E"/>
    <w:rsid w:val="72F73264"/>
    <w:rsid w:val="73294F59"/>
    <w:rsid w:val="746237F3"/>
    <w:rsid w:val="75820860"/>
    <w:rsid w:val="76041EC5"/>
    <w:rsid w:val="763F2CFC"/>
    <w:rsid w:val="7785149F"/>
    <w:rsid w:val="77C60EE1"/>
    <w:rsid w:val="77F86E21"/>
    <w:rsid w:val="796C5061"/>
    <w:rsid w:val="7A674DDE"/>
    <w:rsid w:val="7B122A17"/>
    <w:rsid w:val="7BE50979"/>
    <w:rsid w:val="7C142424"/>
    <w:rsid w:val="7D143CE2"/>
    <w:rsid w:val="7D85689F"/>
    <w:rsid w:val="7EB028F4"/>
    <w:rsid w:val="7EC56F27"/>
    <w:rsid w:val="7F1A557B"/>
    <w:rsid w:val="7F8C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1"/>
    <w:pPr>
      <w:ind w:left="740"/>
      <w:outlineLvl w:val="0"/>
    </w:pPr>
    <w:rPr>
      <w:rFonts w:ascii="Microsoft JhengHei" w:hAnsi="Microsoft JhengHei" w:eastAsia="Microsoft JhengHei" w:cs="Microsoft JhengHe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9"/>
    <w:qFormat/>
    <w:uiPriority w:val="0"/>
    <w:pPr>
      <w:spacing w:before="240" w:after="60"/>
      <w:jc w:val="center"/>
      <w:outlineLvl w:val="0"/>
    </w:pPr>
    <w:rPr>
      <w:rFonts w:ascii="Cambria" w:hAnsi="Cambria" w:cs="宋体"/>
      <w:b/>
      <w:bCs/>
      <w:kern w:val="0"/>
      <w:sz w:val="32"/>
      <w:szCs w:val="32"/>
    </w:rPr>
  </w:style>
  <w:style w:type="paragraph" w:styleId="4">
    <w:name w:val="footer"/>
    <w:basedOn w:val="1"/>
    <w:link w:val="27"/>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28"/>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toc 2"/>
    <w:basedOn w:val="1"/>
    <w:next w:val="1"/>
    <w:qFormat/>
    <w:uiPriority w:val="0"/>
    <w:pPr>
      <w:ind w:left="420" w:leftChars="200"/>
    </w:pPr>
    <w:rPr>
      <w:rFonts w:ascii="Times New Roman" w:hAnsi="Times New Roman" w:cs="Times New Roman"/>
      <w:szCs w:val="24"/>
    </w:rPr>
  </w:style>
  <w:style w:type="paragraph" w:styleId="8">
    <w:name w:val="Normal (Web)"/>
    <w:basedOn w:val="1"/>
    <w:unhideWhenUsed/>
    <w:qFormat/>
    <w:uiPriority w:val="99"/>
    <w:pPr>
      <w:spacing w:before="100" w:beforeAutospacing="1" w:after="100" w:afterAutospacing="1"/>
      <w:jc w:val="left"/>
    </w:pPr>
    <w:rPr>
      <w:kern w:val="0"/>
      <w:sz w:val="24"/>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paragraph" w:customStyle="1" w:styleId="15">
    <w:name w:val="xl29"/>
    <w:basedOn w:val="1"/>
    <w:qFormat/>
    <w:uiPriority w:val="0"/>
    <w:pPr>
      <w:widowControl/>
      <w:shd w:val="clear" w:color="auto" w:fill="E4ECF7"/>
      <w:spacing w:before="100" w:beforeAutospacing="1" w:after="100" w:afterAutospacing="1"/>
      <w:jc w:val="left"/>
      <w:textAlignment w:val="center"/>
    </w:pPr>
    <w:rPr>
      <w:rFonts w:ascii="宋体" w:hAnsi="宋体" w:cs="宋体"/>
      <w:kern w:val="0"/>
      <w:sz w:val="24"/>
      <w:szCs w:val="24"/>
    </w:rPr>
  </w:style>
  <w:style w:type="paragraph" w:customStyle="1" w:styleId="16">
    <w:name w:val="xl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xl35"/>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8">
    <w:name w:val="xl30"/>
    <w:basedOn w:val="1"/>
    <w:qFormat/>
    <w:uiPriority w:val="0"/>
    <w:pPr>
      <w:widowControl/>
      <w:shd w:val="clear" w:color="auto" w:fill="E4ECF7"/>
      <w:spacing w:before="100" w:beforeAutospacing="1" w:after="100" w:afterAutospacing="1"/>
      <w:textAlignment w:val="center"/>
    </w:pPr>
    <w:rPr>
      <w:rFonts w:ascii="宋体" w:hAnsi="宋体" w:cs="宋体"/>
      <w:kern w:val="0"/>
      <w:sz w:val="24"/>
      <w:szCs w:val="24"/>
    </w:rPr>
  </w:style>
  <w:style w:type="paragraph" w:customStyle="1" w:styleId="19">
    <w:name w:val="xl33"/>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0">
    <w:name w:val="xl32"/>
    <w:basedOn w:val="1"/>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1">
    <w:name w:val="xl25"/>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2">
    <w:name w:val="font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xl36"/>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4">
    <w:name w:val="xl28"/>
    <w:basedOn w:val="1"/>
    <w:qFormat/>
    <w:uiPriority w:val="0"/>
    <w:pPr>
      <w:widowControl/>
      <w:shd w:val="clear" w:color="auto" w:fill="E4ECF7"/>
      <w:spacing w:before="100" w:beforeAutospacing="1" w:after="100" w:afterAutospacing="1"/>
      <w:jc w:val="center"/>
      <w:textAlignment w:val="center"/>
    </w:pPr>
    <w:rPr>
      <w:rFonts w:ascii="宋体" w:hAnsi="宋体" w:cs="宋体"/>
      <w:kern w:val="0"/>
      <w:sz w:val="24"/>
      <w:szCs w:val="24"/>
    </w:rPr>
  </w:style>
  <w:style w:type="paragraph" w:customStyle="1" w:styleId="25">
    <w:name w:val="xl34"/>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26">
    <w:name w:val="Char"/>
    <w:basedOn w:val="1"/>
    <w:qFormat/>
    <w:uiPriority w:val="0"/>
    <w:rPr>
      <w:rFonts w:ascii="Times New Roman" w:hAnsi="Times New Roman" w:cs="Times New Roman"/>
      <w:szCs w:val="24"/>
    </w:rPr>
  </w:style>
  <w:style w:type="character" w:customStyle="1" w:styleId="27">
    <w:name w:val="页脚 Char"/>
    <w:link w:val="4"/>
    <w:semiHidden/>
    <w:uiPriority w:val="0"/>
    <w:rPr>
      <w:rFonts w:ascii="Times New Roman" w:hAnsi="Times New Roman" w:eastAsia="宋体" w:cs="Times New Roman"/>
      <w:sz w:val="18"/>
      <w:szCs w:val="18"/>
    </w:rPr>
  </w:style>
  <w:style w:type="character" w:customStyle="1" w:styleId="28">
    <w:name w:val="页眉 Char"/>
    <w:link w:val="5"/>
    <w:semiHidden/>
    <w:uiPriority w:val="0"/>
    <w:rPr>
      <w:rFonts w:ascii="Times New Roman" w:hAnsi="Times New Roman" w:eastAsia="宋体" w:cs="Times New Roman"/>
      <w:sz w:val="18"/>
      <w:szCs w:val="18"/>
    </w:rPr>
  </w:style>
  <w:style w:type="character" w:customStyle="1" w:styleId="29">
    <w:name w:val="标题 Char"/>
    <w:basedOn w:val="11"/>
    <w:link w:val="2"/>
    <w:uiPriority w:val="0"/>
    <w:rPr>
      <w:rFonts w:ascii="Cambria" w:hAnsi="Cambria" w:cs="宋体"/>
      <w:b/>
      <w:bCs/>
      <w:sz w:val="32"/>
      <w:szCs w:val="32"/>
    </w:rPr>
  </w:style>
  <w:style w:type="paragraph" w:customStyle="1" w:styleId="30">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24</Pages>
  <Words>1718</Words>
  <Characters>9799</Characters>
  <Lines>81</Lines>
  <Paragraphs>22</Paragraphs>
  <TotalTime>27</TotalTime>
  <ScaleCrop>false</ScaleCrop>
  <LinksUpToDate>false</LinksUpToDate>
  <CharactersWithSpaces>11495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2017-01-22T01:29:00Z</dcterms:created>
  <dc:creator>guest</dc:creator>
  <cp:lastModifiedBy>程龙</cp:lastModifiedBy>
  <cp:lastPrinted>2020-04-22T07:30:00Z</cp:lastPrinted>
  <dcterms:modified xsi:type="dcterms:W3CDTF">2024-03-07T07:53:44Z</dcterms:modified>
  <dc:title>Administrator</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BDCC2D1D93C6436EA827ED0EB4E6064F_12</vt:lpwstr>
  </property>
</Properties>
</file>