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承德高新技术产业开发区土地收购储备中心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承德高新技术产业开发区土地收购储备中心编制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承德市高新区</w:t>
      </w:r>
      <w:bookmarkStart w:id="5" w:name="_GoBack"/>
      <w:bookmarkEnd w:id="5"/>
      <w:r>
        <w:rPr>
          <w:rFonts w:ascii="方正楷体_GBK" w:hAnsi="方正楷体_GBK" w:eastAsia="方正楷体_GBK" w:cs="方正楷体_GBK"/>
          <w:b/>
          <w:color w:val="000000"/>
          <w:sz w:val="32"/>
        </w:rPr>
        <w:t>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1.郭营子棚改本金利息绩效目标表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2.土地成本核算专项绩效目标表</w:t>
      </w:r>
      <w:r>
        <w:tab/>
      </w:r>
      <w:r>
        <w:fldChar w:fldCharType="begin"/>
      </w:r>
      <w:r>
        <w:instrText xml:space="preserve">PAGEREF _Toc_4_4_0000000005 \h</w:instrText>
      </w:r>
      <w:r>
        <w:fldChar w:fldCharType="separate"/>
      </w:r>
      <w:r>
        <w:t>6</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bidi w:val="0"/>
        <w:spacing w:line="240" w:lineRule="auto"/>
        <w:ind w:firstLine="560" w:firstLineChars="200"/>
      </w:pPr>
      <w:r>
        <w:rPr>
          <w:rFonts w:ascii="Times New Roman" w:hAnsi="Times New Roman" w:eastAsia="方正仿宋_GBK" w:cs="Times New Roman"/>
          <w:b w:val="0"/>
          <w:sz w:val="28"/>
          <w:szCs w:val="24"/>
          <w:lang w:val="en-US" w:eastAsia="uk-UA" w:bidi="ar-SA"/>
        </w:rPr>
        <w:t>202</w:t>
      </w:r>
      <w:r>
        <w:rPr>
          <w:rFonts w:hint="eastAsia" w:ascii="Times New Roman" w:hAnsi="Times New Roman" w:eastAsia="方正仿宋_GBK" w:cs="Times New Roman"/>
          <w:b w:val="0"/>
          <w:sz w:val="28"/>
          <w:szCs w:val="24"/>
          <w:lang w:val="en-US" w:eastAsia="zh-CN" w:bidi="ar-SA"/>
        </w:rPr>
        <w:t>3</w:t>
      </w:r>
      <w:r>
        <w:rPr>
          <w:rFonts w:ascii="Times New Roman" w:hAnsi="Times New Roman" w:eastAsia="方正仿宋_GBK" w:cs="Times New Roman"/>
          <w:b w:val="0"/>
          <w:sz w:val="28"/>
          <w:szCs w:val="24"/>
          <w:lang w:val="en-US" w:eastAsia="uk-UA" w:bidi="ar-SA"/>
        </w:rPr>
        <w:t>年高新区土储和征收办围绕全区发展思路和要求，克难攻坚、重点推进，全力做好重大项目的征地拆迁工作。按照服务群众、严格征地的要求，坚持严守征地制度，认真履行部门职能。在实际工作中把党风廉政建设摆在各项工作中的前位，与其他工作同安排、同部署、同落实。我单位坚持“以人为本、和谐征收、依法征收”的原则，学习宣传贯彻党的十九大精神，坚决贯彻落实中央、省、市决策部署，坚持目标导向，建设好队伍，全面推动各项工作稳步开展。</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一、综合科</w:t>
      </w:r>
    </w:p>
    <w:p>
      <w:pPr>
        <w:pStyle w:val="9"/>
      </w:pPr>
      <w:r>
        <w:t>绩效目标：综合科围绕单位中心工作，结合工作实际，履行办公室职能，认真完成综合协调，处理部门日常工作；负责会议组织和各类后勤保障工作；印鉴管理及档案管理，人事、劳资等工作；负责政务工作的组织协调，办理文电和对外联络等工作；负责信息撰写上报工作；负责综合性文件起草；其他接待工作、拟定部门工作计划、管理制度，纪检、党的建设及群团。</w:t>
      </w:r>
    </w:p>
    <w:p>
      <w:pPr>
        <w:pStyle w:val="9"/>
      </w:pPr>
      <w:r>
        <w:t>二、征收科1、绩效目标：征收科2022年完成京沈客专征地扫尾工作.依据相关法律、法规起草征地拆迁补偿方案并制定拆迁补偿协议；对被征收土地和地上附着物进行测量、登统、公示、核实等相关补偿工作；处理与征地拆迁相关的信访案件。</w:t>
      </w:r>
    </w:p>
    <w:p>
      <w:pPr>
        <w:pStyle w:val="9"/>
      </w:pPr>
      <w:r>
        <w:t>三、收储科绩效目标：负责土地收购、储备和出让的前期准备工作；协助国土资源局负责拟征土地的组卷报批负和土地储备开发项目验收工作；负责土地储备库建立、入库验收、入库土地管理、出库土地交接及后续协调等工作；负责对企事业单位需盘活的存量土地、闲置土地和其他需调整的土地使用权适时进行收购工作。</w:t>
      </w:r>
    </w:p>
    <w:p>
      <w:pPr>
        <w:pStyle w:val="9"/>
      </w:pPr>
      <w:r>
        <w:t>四、财务科1、绩效目标：财务科计划2022年度力争完成区域内遗留的成本清算、交付工作。负责年度经费预、决算的编制、使用及管理工作；争取国家及省、市的政策性配套资金，负责资金调配，按受审计部门的专项资金审计；将征收补偿费用足额到位、专户储存，审查并拨付征收补偿费用和征收补偿工作经费。</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（一）成立组织、加强领导。为确保2022年单位各项</w:t>
      </w:r>
    </w:p>
    <w:p>
      <w:pPr>
        <w:pStyle w:val="10"/>
      </w:pPr>
      <w:r>
        <w:t>重点工作如期完成，成立拆迁工作领导小组，细化工作目标，制定工作计划，落实工作措施，确保年度重点工作有序推进。</w:t>
      </w:r>
    </w:p>
    <w:p>
      <w:pPr>
        <w:pStyle w:val="10"/>
      </w:pPr>
      <w:r>
        <w:t>（二）完善制度，加强支出管理。高新区土储和征收办2022年不断制定完善预算绩效管理制度、资金管理办法、工作保障制度等相关制度，为全年预算绩效目标的实现奠定制度基础。并通过优化支出结构、编细编实预算、加快履行政府采购手续、尽快启动项目、及时支付资金、按规定及时下达资金等多种措施，确保支出进度达标。</w:t>
      </w:r>
    </w:p>
    <w:p>
      <w:pPr>
        <w:pStyle w:val="10"/>
      </w:pPr>
      <w:r>
        <w:t>（三）加强绩效运行监控，做好绩效自评。土储和征收办将按照要求及时开展绩效运行监控，发现问题及时采取措施，确保绩效目标如期保质实现。按照要求开展上年度部门预算自评和重点评价工作，对评价中发现的问题及时整改，调整优化支出结构，提高财政资金的使用效益。</w:t>
      </w:r>
    </w:p>
    <w:p>
      <w:pPr>
        <w:pStyle w:val="10"/>
      </w:pPr>
      <w:r>
        <w:t>（四）规范财务资产管理，加强内部监督。土储和征收办将不断完善财务管理制度，严格审批程序，加强固定资产登记、使用和报废处置管理，做到支出合理，物尽其用。还将加强内部监督制度建设，对绩效运行情况、重大支出决策、对外投资、资产处置及其他重要经济业务事项的决策和执行进行督导，对会计资料进行内部审计，并配合做好审计、财政监督等外部监督工作，确保财政资产安全有效。</w:t>
      </w:r>
    </w:p>
    <w:p>
      <w:pPr>
        <w:pStyle w:val="10"/>
      </w:pPr>
      <w:r>
        <w:t>（五）加强人员培训，加强宣传。我单位加强人员培训，不断提高本部门职工业务素质；不断加宣传力度，强化预算绩效管理意识，促进预算绩效管理水平进一步提升。</w:t>
      </w:r>
    </w:p>
    <w:p>
      <w:pPr>
        <w:pStyle w:val="10"/>
      </w:pP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1.郭营子棚改本金利息绩效目标表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115001承德高新技术产业开发区土地收购储备中心本级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13081123P008047100028</w:t>
            </w:r>
          </w:p>
        </w:tc>
        <w:tc>
          <w:tcPr>
            <w:tcW w:w="1587" w:type="dxa"/>
            <w:vAlign w:val="center"/>
          </w:tcPr>
          <w:p>
            <w:pPr>
              <w:pStyle w:val="14"/>
            </w:pPr>
            <w:r>
              <w:t>项目名称</w:t>
            </w:r>
          </w:p>
        </w:tc>
        <w:tc>
          <w:tcPr>
            <w:tcW w:w="4422" w:type="dxa"/>
            <w:gridSpan w:val="3"/>
            <w:vAlign w:val="center"/>
          </w:tcPr>
          <w:p>
            <w:pPr>
              <w:pStyle w:val="13"/>
            </w:pPr>
            <w:r>
              <w:t>郭营子棚改本金利息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5295.00</w:t>
            </w:r>
          </w:p>
        </w:tc>
        <w:tc>
          <w:tcPr>
            <w:tcW w:w="1587" w:type="dxa"/>
            <w:vAlign w:val="center"/>
          </w:tcPr>
          <w:p>
            <w:pPr>
              <w:pStyle w:val="14"/>
            </w:pPr>
            <w:r>
              <w:t>其中：财政    资金</w:t>
            </w:r>
          </w:p>
        </w:tc>
        <w:tc>
          <w:tcPr>
            <w:tcW w:w="1304" w:type="dxa"/>
            <w:vAlign w:val="center"/>
          </w:tcPr>
          <w:p>
            <w:pPr>
              <w:pStyle w:val="13"/>
            </w:pPr>
            <w:r>
              <w:t>5295.00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用于归还棚改贷款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30%</w:t>
            </w:r>
          </w:p>
        </w:tc>
        <w:tc>
          <w:tcPr>
            <w:tcW w:w="1304" w:type="dxa"/>
            <w:vAlign w:val="center"/>
          </w:tcPr>
          <w:p>
            <w:pPr>
              <w:pStyle w:val="15"/>
            </w:pPr>
            <w:r>
              <w:t>30%</w:t>
            </w:r>
          </w:p>
        </w:tc>
        <w:tc>
          <w:tcPr>
            <w:tcW w:w="3118" w:type="dxa"/>
            <w:gridSpan w:val="2"/>
            <w:vAlign w:val="center"/>
          </w:tcPr>
          <w:p>
            <w:pPr>
              <w:pStyle w:val="15"/>
            </w:pPr>
            <w:r>
              <w:t>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1.按协议完成还款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财政拨入资金使用率</w:t>
            </w:r>
          </w:p>
        </w:tc>
        <w:tc>
          <w:tcPr>
            <w:tcW w:w="2891" w:type="dxa"/>
            <w:vAlign w:val="center"/>
          </w:tcPr>
          <w:p>
            <w:pPr>
              <w:pStyle w:val="13"/>
            </w:pPr>
            <w:r>
              <w:t>按财政拨付资金完成贷款本金利息的偿还</w:t>
            </w:r>
          </w:p>
        </w:tc>
        <w:tc>
          <w:tcPr>
            <w:tcW w:w="1276" w:type="dxa"/>
            <w:vAlign w:val="center"/>
          </w:tcPr>
          <w:p>
            <w:pPr>
              <w:pStyle w:val="13"/>
            </w:pPr>
            <w:r>
              <w:t>≥80财政拨入资金支付80%以上</w:t>
            </w:r>
          </w:p>
        </w:tc>
        <w:tc>
          <w:tcPr>
            <w:tcW w:w="1843" w:type="dxa"/>
            <w:vAlign w:val="center"/>
          </w:tcPr>
          <w:p>
            <w:pPr>
              <w:pStyle w:val="13"/>
            </w:pPr>
            <w:r>
              <w:t>贷款是否及时偿还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按季度支付资金完成率</w:t>
            </w:r>
          </w:p>
        </w:tc>
        <w:tc>
          <w:tcPr>
            <w:tcW w:w="2891" w:type="dxa"/>
            <w:vAlign w:val="center"/>
          </w:tcPr>
          <w:p>
            <w:pPr>
              <w:pStyle w:val="13"/>
            </w:pPr>
            <w:r>
              <w:t>棚改贷款上级要求分季度及时完成支付</w:t>
            </w:r>
          </w:p>
        </w:tc>
        <w:tc>
          <w:tcPr>
            <w:tcW w:w="1276" w:type="dxa"/>
            <w:vAlign w:val="center"/>
          </w:tcPr>
          <w:p>
            <w:pPr>
              <w:pStyle w:val="13"/>
            </w:pPr>
            <w:r>
              <w:t>≥80按季度支付资金80%以上</w:t>
            </w:r>
          </w:p>
        </w:tc>
        <w:tc>
          <w:tcPr>
            <w:tcW w:w="1843" w:type="dxa"/>
            <w:vAlign w:val="center"/>
          </w:tcPr>
          <w:p>
            <w:pPr>
              <w:pStyle w:val="13"/>
            </w:pPr>
            <w:r>
              <w:t>按季度及时支付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棚改本金利息的支出不超过年初预算数</w:t>
            </w:r>
          </w:p>
        </w:tc>
        <w:tc>
          <w:tcPr>
            <w:tcW w:w="1276" w:type="dxa"/>
            <w:vAlign w:val="center"/>
          </w:tcPr>
          <w:p>
            <w:pPr>
              <w:pStyle w:val="13"/>
            </w:pPr>
            <w:r>
              <w:t>≤20资金使用不超过年初预算的20%</w:t>
            </w:r>
          </w:p>
        </w:tc>
        <w:tc>
          <w:tcPr>
            <w:tcW w:w="1843"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收到财政拨款及时偿还债务</w:t>
            </w:r>
          </w:p>
        </w:tc>
        <w:tc>
          <w:tcPr>
            <w:tcW w:w="1276" w:type="dxa"/>
            <w:vAlign w:val="center"/>
          </w:tcPr>
          <w:p>
            <w:pPr>
              <w:pStyle w:val="13"/>
            </w:pPr>
            <w:r>
              <w:t>≥80收到资金及时付款，不延误</w:t>
            </w:r>
          </w:p>
        </w:tc>
        <w:tc>
          <w:tcPr>
            <w:tcW w:w="1843" w:type="dxa"/>
            <w:vAlign w:val="center"/>
          </w:tcPr>
          <w:p>
            <w:pPr>
              <w:pStyle w:val="13"/>
            </w:pPr>
            <w:r>
              <w:t>资金支付及时性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支付的相关性</w:t>
            </w:r>
          </w:p>
        </w:tc>
        <w:tc>
          <w:tcPr>
            <w:tcW w:w="2891" w:type="dxa"/>
            <w:vAlign w:val="center"/>
          </w:tcPr>
          <w:p>
            <w:pPr>
              <w:pStyle w:val="13"/>
            </w:pPr>
            <w:r>
              <w:t>项目的实际支出是否与预算批复（和合同规定）的用途相符</w:t>
            </w:r>
          </w:p>
        </w:tc>
        <w:tc>
          <w:tcPr>
            <w:tcW w:w="1276" w:type="dxa"/>
            <w:vAlign w:val="center"/>
          </w:tcPr>
          <w:p>
            <w:pPr>
              <w:pStyle w:val="13"/>
            </w:pPr>
            <w:r>
              <w:t>资金使用与年初预算批复相符</w:t>
            </w:r>
          </w:p>
        </w:tc>
        <w:tc>
          <w:tcPr>
            <w:tcW w:w="1843"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项目规划准确率</w:t>
            </w:r>
          </w:p>
        </w:tc>
        <w:tc>
          <w:tcPr>
            <w:tcW w:w="2891" w:type="dxa"/>
            <w:vAlign w:val="center"/>
          </w:tcPr>
          <w:p>
            <w:pPr>
              <w:pStyle w:val="13"/>
            </w:pPr>
            <w:r>
              <w:t>项目规划准确率</w:t>
            </w:r>
          </w:p>
        </w:tc>
        <w:tc>
          <w:tcPr>
            <w:tcW w:w="1276" w:type="dxa"/>
            <w:vAlign w:val="center"/>
          </w:tcPr>
          <w:p>
            <w:pPr>
              <w:pStyle w:val="13"/>
            </w:pPr>
            <w:r>
              <w:t>准确规划本年度棚改本金利息所需费用</w:t>
            </w:r>
          </w:p>
        </w:tc>
        <w:tc>
          <w:tcPr>
            <w:tcW w:w="1843" w:type="dxa"/>
            <w:vAlign w:val="center"/>
          </w:tcPr>
          <w:p>
            <w:pPr>
              <w:pStyle w:val="13"/>
            </w:pPr>
            <w:r>
              <w:t>规划资金准确率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支出的合规性</w:t>
            </w:r>
          </w:p>
        </w:tc>
        <w:tc>
          <w:tcPr>
            <w:tcW w:w="2891" w:type="dxa"/>
            <w:vAlign w:val="center"/>
          </w:tcPr>
          <w:p>
            <w:pPr>
              <w:pStyle w:val="13"/>
            </w:pPr>
            <w:r>
              <w:t>项目的实际支出是否符合国家财经法规和财务管理制度以及有关专项资金管理办法</w:t>
            </w:r>
          </w:p>
        </w:tc>
        <w:tc>
          <w:tcPr>
            <w:tcW w:w="1276" w:type="dxa"/>
            <w:vAlign w:val="center"/>
          </w:tcPr>
          <w:p>
            <w:pPr>
              <w:pStyle w:val="13"/>
            </w:pPr>
            <w:r>
              <w:t>资金使用符合相关法律法规</w:t>
            </w:r>
          </w:p>
        </w:tc>
        <w:tc>
          <w:tcPr>
            <w:tcW w:w="1843" w:type="dxa"/>
            <w:vAlign w:val="center"/>
          </w:tcPr>
          <w:p>
            <w:pPr>
              <w:pStyle w:val="13"/>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项目完成情况</w:t>
            </w:r>
          </w:p>
        </w:tc>
        <w:tc>
          <w:tcPr>
            <w:tcW w:w="2891" w:type="dxa"/>
            <w:vAlign w:val="center"/>
          </w:tcPr>
          <w:p>
            <w:pPr>
              <w:pStyle w:val="13"/>
            </w:pPr>
            <w:r>
              <w:t>项目完成情况</w:t>
            </w:r>
          </w:p>
        </w:tc>
        <w:tc>
          <w:tcPr>
            <w:tcW w:w="1276" w:type="dxa"/>
            <w:vAlign w:val="center"/>
          </w:tcPr>
          <w:p>
            <w:pPr>
              <w:pStyle w:val="13"/>
            </w:pPr>
            <w:r>
              <w:t>≥80完成项目达80%以上</w:t>
            </w:r>
          </w:p>
        </w:tc>
        <w:tc>
          <w:tcPr>
            <w:tcW w:w="1843"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服务对象对财务工作整体满意度</w:t>
            </w:r>
          </w:p>
        </w:tc>
        <w:tc>
          <w:tcPr>
            <w:tcW w:w="1276" w:type="dxa"/>
            <w:vAlign w:val="center"/>
          </w:tcPr>
          <w:p>
            <w:pPr>
              <w:pStyle w:val="13"/>
            </w:pPr>
            <w:r>
              <w:t>≥8080%以上群众满意</w:t>
            </w:r>
          </w:p>
        </w:tc>
        <w:tc>
          <w:tcPr>
            <w:tcW w:w="1843" w:type="dxa"/>
            <w:vAlign w:val="center"/>
          </w:tcPr>
          <w:p>
            <w:pPr>
              <w:pStyle w:val="13"/>
            </w:pPr>
            <w:r>
              <w:t>服务对象满意程度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2.土地成本核算专项绩效目标表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115001承德高新技术产业开发区土地收购储备中心本级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13081123P0054FF100030</w:t>
            </w:r>
          </w:p>
        </w:tc>
        <w:tc>
          <w:tcPr>
            <w:tcW w:w="1587" w:type="dxa"/>
            <w:vAlign w:val="center"/>
          </w:tcPr>
          <w:p>
            <w:pPr>
              <w:pStyle w:val="14"/>
            </w:pPr>
            <w:r>
              <w:t>项目名称</w:t>
            </w:r>
          </w:p>
        </w:tc>
        <w:tc>
          <w:tcPr>
            <w:tcW w:w="4422" w:type="dxa"/>
            <w:gridSpan w:val="3"/>
            <w:vAlign w:val="center"/>
          </w:tcPr>
          <w:p>
            <w:pPr>
              <w:pStyle w:val="13"/>
            </w:pPr>
            <w:r>
              <w:t>土地成本核算专项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按协议支付审计费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50%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1.目标内容1按协议支付审计费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财政拨入资金使用率</w:t>
            </w:r>
          </w:p>
        </w:tc>
        <w:tc>
          <w:tcPr>
            <w:tcW w:w="2891" w:type="dxa"/>
            <w:vAlign w:val="center"/>
          </w:tcPr>
          <w:p>
            <w:pPr>
              <w:pStyle w:val="13"/>
            </w:pPr>
            <w:r>
              <w:t>按财政拨付资金完成贷款本金利息的偿还</w:t>
            </w:r>
          </w:p>
        </w:tc>
        <w:tc>
          <w:tcPr>
            <w:tcW w:w="1276" w:type="dxa"/>
            <w:vAlign w:val="center"/>
          </w:tcPr>
          <w:p>
            <w:pPr>
              <w:pStyle w:val="13"/>
            </w:pPr>
            <w:r>
              <w:t>≥80财政拨入资金支付80%以上</w:t>
            </w:r>
          </w:p>
        </w:tc>
        <w:tc>
          <w:tcPr>
            <w:tcW w:w="1843" w:type="dxa"/>
            <w:vAlign w:val="center"/>
          </w:tcPr>
          <w:p>
            <w:pPr>
              <w:pStyle w:val="13"/>
            </w:pPr>
            <w:r>
              <w:t>贷款是否及时偿还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支付资金完成率</w:t>
            </w:r>
          </w:p>
        </w:tc>
        <w:tc>
          <w:tcPr>
            <w:tcW w:w="2891" w:type="dxa"/>
            <w:vAlign w:val="center"/>
          </w:tcPr>
          <w:p>
            <w:pPr>
              <w:pStyle w:val="13"/>
            </w:pPr>
            <w:r>
              <w:t>按上级要求及时完成支付</w:t>
            </w:r>
          </w:p>
        </w:tc>
        <w:tc>
          <w:tcPr>
            <w:tcW w:w="1276" w:type="dxa"/>
            <w:vAlign w:val="center"/>
          </w:tcPr>
          <w:p>
            <w:pPr>
              <w:pStyle w:val="13"/>
            </w:pPr>
            <w:r>
              <w:t>≥80支付资金80%以上</w:t>
            </w:r>
          </w:p>
        </w:tc>
        <w:tc>
          <w:tcPr>
            <w:tcW w:w="1843" w:type="dxa"/>
            <w:vAlign w:val="center"/>
          </w:tcPr>
          <w:p>
            <w:pPr>
              <w:pStyle w:val="13"/>
            </w:pPr>
            <w:r>
              <w:t>按要求及时支付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项目成本</w:t>
            </w:r>
          </w:p>
        </w:tc>
        <w:tc>
          <w:tcPr>
            <w:tcW w:w="2891" w:type="dxa"/>
            <w:vAlign w:val="center"/>
          </w:tcPr>
          <w:p>
            <w:pPr>
              <w:pStyle w:val="13"/>
            </w:pPr>
            <w:r>
              <w:t>审计费用按年初预算数控制支付</w:t>
            </w:r>
          </w:p>
        </w:tc>
        <w:tc>
          <w:tcPr>
            <w:tcW w:w="1276" w:type="dxa"/>
            <w:vAlign w:val="center"/>
          </w:tcPr>
          <w:p>
            <w:pPr>
              <w:pStyle w:val="13"/>
            </w:pPr>
            <w:r>
              <w:t>≥30资金使用不超过年初预算的30%</w:t>
            </w:r>
          </w:p>
        </w:tc>
        <w:tc>
          <w:tcPr>
            <w:tcW w:w="1843"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收到财政拨款及时支付相关费用</w:t>
            </w:r>
          </w:p>
        </w:tc>
        <w:tc>
          <w:tcPr>
            <w:tcW w:w="1276" w:type="dxa"/>
            <w:vAlign w:val="center"/>
          </w:tcPr>
          <w:p>
            <w:pPr>
              <w:pStyle w:val="13"/>
            </w:pPr>
            <w:r>
              <w:t>收到资金及时付款，不延误</w:t>
            </w:r>
          </w:p>
        </w:tc>
        <w:tc>
          <w:tcPr>
            <w:tcW w:w="1843" w:type="dxa"/>
            <w:vAlign w:val="center"/>
          </w:tcPr>
          <w:p>
            <w:pPr>
              <w:pStyle w:val="13"/>
            </w:pPr>
            <w:r>
              <w:t>资金支付及时性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支出的合规性</w:t>
            </w:r>
          </w:p>
        </w:tc>
        <w:tc>
          <w:tcPr>
            <w:tcW w:w="2891" w:type="dxa"/>
            <w:vAlign w:val="center"/>
          </w:tcPr>
          <w:p>
            <w:pPr>
              <w:pStyle w:val="13"/>
            </w:pPr>
            <w:r>
              <w:t>项目的实际支出是否符合国家财经法规和财务管理制度以及有关专项资金管理办法</w:t>
            </w:r>
          </w:p>
        </w:tc>
        <w:tc>
          <w:tcPr>
            <w:tcW w:w="1276" w:type="dxa"/>
            <w:vAlign w:val="center"/>
          </w:tcPr>
          <w:p>
            <w:pPr>
              <w:pStyle w:val="13"/>
            </w:pPr>
            <w:r>
              <w:t>资金使用符合相关法律法规</w:t>
            </w:r>
          </w:p>
        </w:tc>
        <w:tc>
          <w:tcPr>
            <w:tcW w:w="1843" w:type="dxa"/>
            <w:vAlign w:val="center"/>
          </w:tcPr>
          <w:p>
            <w:pPr>
              <w:pStyle w:val="13"/>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项目完成情况</w:t>
            </w:r>
          </w:p>
        </w:tc>
        <w:tc>
          <w:tcPr>
            <w:tcW w:w="2891" w:type="dxa"/>
            <w:vAlign w:val="center"/>
          </w:tcPr>
          <w:p>
            <w:pPr>
              <w:pStyle w:val="13"/>
            </w:pPr>
            <w:r>
              <w:t>项目完成情况</w:t>
            </w:r>
          </w:p>
        </w:tc>
        <w:tc>
          <w:tcPr>
            <w:tcW w:w="1276" w:type="dxa"/>
            <w:vAlign w:val="center"/>
          </w:tcPr>
          <w:p>
            <w:pPr>
              <w:pStyle w:val="13"/>
            </w:pPr>
            <w:r>
              <w:t>≥80完成项目达80%以上</w:t>
            </w:r>
          </w:p>
        </w:tc>
        <w:tc>
          <w:tcPr>
            <w:tcW w:w="1843"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支付的相关性</w:t>
            </w:r>
          </w:p>
        </w:tc>
        <w:tc>
          <w:tcPr>
            <w:tcW w:w="2891" w:type="dxa"/>
            <w:vAlign w:val="center"/>
          </w:tcPr>
          <w:p>
            <w:pPr>
              <w:pStyle w:val="13"/>
            </w:pPr>
            <w:r>
              <w:t>项目的实际支出是否与预算批复（和合同规定）的用途相符</w:t>
            </w:r>
          </w:p>
        </w:tc>
        <w:tc>
          <w:tcPr>
            <w:tcW w:w="1276" w:type="dxa"/>
            <w:vAlign w:val="center"/>
          </w:tcPr>
          <w:p>
            <w:pPr>
              <w:pStyle w:val="13"/>
            </w:pPr>
            <w:r>
              <w:t>资金使用与年初预算批复相符</w:t>
            </w:r>
          </w:p>
        </w:tc>
        <w:tc>
          <w:tcPr>
            <w:tcW w:w="1843"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项目规划准确率</w:t>
            </w:r>
          </w:p>
        </w:tc>
        <w:tc>
          <w:tcPr>
            <w:tcW w:w="2891" w:type="dxa"/>
            <w:vAlign w:val="center"/>
          </w:tcPr>
          <w:p>
            <w:pPr>
              <w:pStyle w:val="13"/>
            </w:pPr>
            <w:r>
              <w:t>项目规划准确率</w:t>
            </w:r>
          </w:p>
        </w:tc>
        <w:tc>
          <w:tcPr>
            <w:tcW w:w="1276" w:type="dxa"/>
            <w:vAlign w:val="center"/>
          </w:tcPr>
          <w:p>
            <w:pPr>
              <w:pStyle w:val="13"/>
            </w:pPr>
            <w:r>
              <w:t>≥80准确规划本年度审计所需费用</w:t>
            </w:r>
          </w:p>
        </w:tc>
        <w:tc>
          <w:tcPr>
            <w:tcW w:w="1843" w:type="dxa"/>
            <w:vAlign w:val="center"/>
          </w:tcPr>
          <w:p>
            <w:pPr>
              <w:pStyle w:val="13"/>
            </w:pPr>
            <w:r>
              <w:t>规划资金准确率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服务对象对财务工作整体满意度</w:t>
            </w:r>
          </w:p>
        </w:tc>
        <w:tc>
          <w:tcPr>
            <w:tcW w:w="1276" w:type="dxa"/>
            <w:vAlign w:val="center"/>
          </w:tcPr>
          <w:p>
            <w:pPr>
              <w:pStyle w:val="13"/>
            </w:pPr>
            <w:r>
              <w:t>≥8080%以上群众满意</w:t>
            </w:r>
          </w:p>
        </w:tc>
        <w:tc>
          <w:tcPr>
            <w:tcW w:w="1843" w:type="dxa"/>
            <w:vAlign w:val="center"/>
          </w:tcPr>
          <w:p>
            <w:pPr>
              <w:pStyle w:val="13"/>
            </w:pPr>
            <w:r>
              <w:t>服务对象满意程度</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E3MWZiYWNmZDk5MDRiNTFmZjI4YmU2NmJlYjNkMzEifQ=="/>
  </w:docVars>
  <w:rsids>
    <w:rsidRoot w:val="00000000"/>
    <w:rsid w:val="2FBB2987"/>
    <w:rsid w:val="75A07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2023-10-08T14:13:29Z</dcterms:created>
  <dcterms:modified xsi:type="dcterms:W3CDTF">2023-10-08T06:13:29Z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2023-10-08T14:13:29Z</dcterms:created>
  <dcterms:modified xsi:type="dcterms:W3CDTF">2023-10-08T06:13:29Z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2023-10-08T14:13:28Z</dcterms:created>
  <dcterms:modified xsi:type="dcterms:W3CDTF">2023-10-08T06:13:28Z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2023-10-08T14:13:28Z</dcterms:created>
  <dcterms:modified xsi:type="dcterms:W3CDTF">2023-10-08T06:13:28Z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93e8524-949b-42ff-ad2c-e346404a0efd}">
  <ds:schemaRefs/>
</ds:datastoreItem>
</file>

<file path=customXml/itemProps2.xml><?xml version="1.0" encoding="utf-8"?>
<ds:datastoreItem xmlns:ds="http://schemas.openxmlformats.org/officeDocument/2006/customXml" ds:itemID="{16f22301-ec49-49be-bd13-0885196acc0c}">
  <ds:schemaRefs/>
</ds:datastoreItem>
</file>

<file path=customXml/itemProps3.xml><?xml version="1.0" encoding="utf-8"?>
<ds:datastoreItem xmlns:ds="http://schemas.openxmlformats.org/officeDocument/2006/customXml" ds:itemID="{032bc70c-8e68-443e-8af3-a4dfab541470}">
  <ds:schemaRefs/>
</ds:datastoreItem>
</file>

<file path=customXml/itemProps4.xml><?xml version="1.0" encoding="utf-8"?>
<ds:datastoreItem xmlns:ds="http://schemas.openxmlformats.org/officeDocument/2006/customXml" ds:itemID="{ac996a47-ee46-4f29-90d2-376b98b7473f}">
  <ds:schemaRefs/>
</ds:datastoreItem>
</file>

<file path=customXml/itemProps5.xml><?xml version="1.0" encoding="utf-8"?>
<ds:datastoreItem xmlns:ds="http://schemas.openxmlformats.org/officeDocument/2006/customXml" ds:itemID="{f4095542-eb83-4acb-8c5f-f1a24193aa98}">
  <ds:schemaRefs/>
</ds:datastoreItem>
</file>

<file path=customXml/itemProps6.xml><?xml version="1.0" encoding="utf-8"?>
<ds:datastoreItem xmlns:ds="http://schemas.openxmlformats.org/officeDocument/2006/customXml" ds:itemID="{384f6f94-d8f2-4c07-a142-d2ade5cbb609}">
  <ds:schemaRefs/>
</ds:datastoreItem>
</file>

<file path=customXml/itemProps7.xml><?xml version="1.0" encoding="utf-8"?>
<ds:datastoreItem xmlns:ds="http://schemas.openxmlformats.org/officeDocument/2006/customXml" ds:itemID="{e4cc2865-3d8b-4599-a1a6-e05a3c8bf6e7}">
  <ds:schemaRefs/>
</ds:datastoreItem>
</file>

<file path=customXml/itemProps8.xml><?xml version="1.0" encoding="utf-8"?>
<ds:datastoreItem xmlns:ds="http://schemas.openxmlformats.org/officeDocument/2006/customXml" ds:itemID="{d721d003-a249-4302-a1af-0ea55175558c}">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2023-10-08T14:13:00Z</dcterms:created>
  <dc:creator>Lenovo</dc:creator>
  <cp:lastModifiedBy>呐</cp:lastModifiedBy>
  <dcterms:modified xsi:type="dcterms:W3CDTF">2023-10-10T02:27:55Z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10EBEB94A2D54CAF9175C181F47F0F1B_12</vt:lpwstr>
  </property>
</Properties>
</file>