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22" w:rsidRDefault="00CC7A22">
      <w:pPr>
        <w:jc w:val="center"/>
        <w:rPr>
          <w:rFonts w:ascii="方正小标宋简体" w:eastAsia="方正小标宋简体" w:hAnsi="方正小标宋简体" w:cs="方正小标宋简体" w:hint="eastAsia"/>
          <w:b/>
          <w:sz w:val="44"/>
          <w:szCs w:val="44"/>
        </w:rPr>
      </w:pPr>
    </w:p>
    <w:p w:rsidR="00FC3C20" w:rsidRDefault="00FC3C20" w:rsidP="00FC3C20">
      <w:pPr>
        <w:pStyle w:val="a0"/>
        <w:rPr>
          <w:rFonts w:hint="eastAsia"/>
        </w:rPr>
      </w:pPr>
    </w:p>
    <w:p w:rsidR="00FC3C20" w:rsidRPr="00FC3C20" w:rsidRDefault="00FC3C20" w:rsidP="00FC3C20">
      <w:pPr>
        <w:pStyle w:val="7"/>
      </w:pPr>
    </w:p>
    <w:p w:rsidR="00CC7A22" w:rsidRPr="00FC3C20" w:rsidRDefault="00AD302B">
      <w:pPr>
        <w:spacing w:line="560" w:lineRule="exact"/>
        <w:jc w:val="center"/>
        <w:rPr>
          <w:rFonts w:ascii="方正小标宋简体" w:eastAsia="方正小标宋简体" w:hAnsi="方正小标宋_GBK" w:cs="方正小标宋_GBK" w:hint="eastAsia"/>
          <w:bCs/>
          <w:sz w:val="44"/>
          <w:szCs w:val="44"/>
        </w:rPr>
      </w:pPr>
      <w:r w:rsidRPr="00FC3C20">
        <w:rPr>
          <w:rFonts w:ascii="方正小标宋简体" w:eastAsia="方正小标宋简体" w:hAnsi="方正小标宋_GBK" w:cs="方正小标宋_GBK" w:hint="eastAsia"/>
          <w:bCs/>
          <w:sz w:val="44"/>
          <w:szCs w:val="44"/>
        </w:rPr>
        <w:t>承德高新区农业农村局</w:t>
      </w:r>
    </w:p>
    <w:p w:rsidR="00CC7A22" w:rsidRPr="00FC3C20" w:rsidRDefault="00AD302B">
      <w:pPr>
        <w:spacing w:line="560" w:lineRule="exact"/>
        <w:jc w:val="center"/>
        <w:rPr>
          <w:rFonts w:ascii="方正小标宋简体" w:eastAsia="方正小标宋简体" w:hAnsi="方正小标宋_GBK" w:cs="方正小标宋_GBK" w:hint="eastAsia"/>
          <w:bCs/>
          <w:sz w:val="44"/>
          <w:szCs w:val="44"/>
        </w:rPr>
      </w:pPr>
      <w:r w:rsidRPr="00FC3C20">
        <w:rPr>
          <w:rFonts w:ascii="方正小标宋简体" w:eastAsia="方正小标宋简体" w:hAnsi="方正小标宋_GBK" w:cs="方正小标宋_GBK" w:hint="eastAsia"/>
          <w:bCs/>
          <w:sz w:val="44"/>
          <w:szCs w:val="44"/>
        </w:rPr>
        <w:t>2023</w:t>
      </w:r>
      <w:r w:rsidRPr="00FC3C20">
        <w:rPr>
          <w:rFonts w:ascii="方正小标宋简体" w:eastAsia="方正小标宋简体" w:hAnsi="方正小标宋_GBK" w:cs="方正小标宋_GBK" w:hint="eastAsia"/>
          <w:bCs/>
          <w:sz w:val="44"/>
          <w:szCs w:val="44"/>
        </w:rPr>
        <w:t>年</w:t>
      </w:r>
      <w:r w:rsidRPr="00FC3C20">
        <w:rPr>
          <w:rFonts w:ascii="方正小标宋简体" w:eastAsia="方正小标宋简体" w:hAnsi="方正小标宋_GBK" w:cs="方正小标宋_GBK" w:hint="eastAsia"/>
          <w:bCs/>
          <w:sz w:val="44"/>
          <w:szCs w:val="44"/>
        </w:rPr>
        <w:t>政府信</w:t>
      </w:r>
      <w:bookmarkStart w:id="0" w:name="_GoBack"/>
      <w:bookmarkEnd w:id="0"/>
      <w:r w:rsidRPr="00FC3C20">
        <w:rPr>
          <w:rFonts w:ascii="方正小标宋简体" w:eastAsia="方正小标宋简体" w:hAnsi="方正小标宋_GBK" w:cs="方正小标宋_GBK" w:hint="eastAsia"/>
          <w:bCs/>
          <w:sz w:val="44"/>
          <w:szCs w:val="44"/>
        </w:rPr>
        <w:t>息公开工作年度报告</w:t>
      </w:r>
    </w:p>
    <w:p w:rsidR="00CC7A22" w:rsidRDefault="00CC7A22">
      <w:pPr>
        <w:spacing w:line="680" w:lineRule="exact"/>
        <w:jc w:val="center"/>
        <w:rPr>
          <w:rFonts w:ascii="方正小标宋简体" w:eastAsia="方正小标宋简体" w:hAnsi="方正小标宋简体" w:cs="方正小标宋简体"/>
          <w:b/>
          <w:sz w:val="44"/>
          <w:szCs w:val="44"/>
        </w:rPr>
      </w:pPr>
    </w:p>
    <w:p w:rsidR="00AF4282" w:rsidRDefault="00AF4282" w:rsidP="00AF4282">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根据《中华人民共和国政府信息公开条例》要求，结合承德高新区农业农村局2023年度政府信息公开工作实际，编制本报告。本报告内容包括主动公开、依申请公开、政府信息管理、政府信息公开平台建设、监督保障等五个部分。本年度报告中所列数据统计期限从2023年1月1日到2023年12月31日止。本年度报告电子版可从承德高新区门户网站（www.cdkfq.gov.cn）下载。</w:t>
      </w:r>
    </w:p>
    <w:p w:rsidR="00AF4282" w:rsidRDefault="00AF4282" w:rsidP="00AF4282">
      <w:pPr>
        <w:spacing w:line="560" w:lineRule="exact"/>
        <w:ind w:firstLineChars="200" w:firstLine="640"/>
        <w:rPr>
          <w:rFonts w:ascii="仿宋_GB2312" w:eastAsia="仿宋_GB2312"/>
          <w:color w:val="000000" w:themeColor="text1"/>
          <w:sz w:val="32"/>
          <w:szCs w:val="32"/>
        </w:rPr>
      </w:pPr>
      <w:r>
        <w:rPr>
          <w:rFonts w:ascii="黑体" w:eastAsia="黑体" w:hAnsi="黑体" w:cs="黑体" w:hint="eastAsia"/>
          <w:sz w:val="32"/>
          <w:szCs w:val="32"/>
        </w:rPr>
        <w:t>一、总体情况</w:t>
      </w:r>
    </w:p>
    <w:p w:rsidR="00AF4282" w:rsidRDefault="00AF4282" w:rsidP="00AF4282">
      <w:pPr>
        <w:spacing w:line="560" w:lineRule="exact"/>
        <w:ind w:firstLineChars="200" w:firstLine="640"/>
        <w:contextualSpacing/>
        <w:rPr>
          <w:rFonts w:ascii="楷体_GB2312" w:eastAsia="楷体_GB2312"/>
          <w:color w:val="000000" w:themeColor="text1"/>
          <w:sz w:val="32"/>
          <w:szCs w:val="32"/>
        </w:rPr>
      </w:pPr>
      <w:r>
        <w:rPr>
          <w:rFonts w:ascii="楷体_GB2312" w:eastAsia="楷体_GB2312" w:hint="eastAsia"/>
          <w:color w:val="000000" w:themeColor="text1"/>
          <w:sz w:val="32"/>
          <w:szCs w:val="32"/>
        </w:rPr>
        <w:t>（一）主动公开</w:t>
      </w:r>
    </w:p>
    <w:p w:rsidR="00AF4282" w:rsidRDefault="00AF4282" w:rsidP="00AF4282">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截至2023年12月底，承德高新区农业农村局主动公开政务信息、宣传信息50条。其中涉农补贴1条、乡村振兴22条、部门决算2条、部门预算2条、农业农村23条。</w:t>
      </w:r>
    </w:p>
    <w:p w:rsidR="00AF4282" w:rsidRDefault="00AF4282" w:rsidP="00AF4282">
      <w:pPr>
        <w:widowControl/>
        <w:shd w:val="clear" w:color="auto" w:fill="FFFFFF"/>
        <w:spacing w:line="560" w:lineRule="exact"/>
        <w:ind w:firstLineChars="200" w:firstLine="640"/>
        <w:rPr>
          <w:rFonts w:ascii="楷体_GB2312" w:eastAsia="楷体_GB2312" w:hAnsi="微软雅黑" w:cs="宋体"/>
          <w:bCs/>
          <w:color w:val="000000" w:themeColor="text1"/>
          <w:kern w:val="0"/>
          <w:sz w:val="32"/>
          <w:szCs w:val="32"/>
        </w:rPr>
      </w:pPr>
      <w:r>
        <w:rPr>
          <w:rFonts w:ascii="楷体_GB2312" w:eastAsia="楷体_GB2312" w:hAnsi="微软雅黑" w:cs="宋体" w:hint="eastAsia"/>
          <w:bCs/>
          <w:color w:val="000000" w:themeColor="text1"/>
          <w:kern w:val="0"/>
          <w:sz w:val="32"/>
          <w:szCs w:val="32"/>
        </w:rPr>
        <w:t>（二）依申请公开</w:t>
      </w:r>
    </w:p>
    <w:p w:rsidR="00AF4282" w:rsidRDefault="00AF4282" w:rsidP="00AF4282">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承德高新区农业</w:t>
      </w:r>
      <w:proofErr w:type="gramStart"/>
      <w:r>
        <w:rPr>
          <w:rFonts w:ascii="仿宋_GB2312" w:eastAsia="仿宋_GB2312" w:hint="eastAsia"/>
          <w:color w:val="000000" w:themeColor="text1"/>
          <w:sz w:val="32"/>
          <w:szCs w:val="32"/>
        </w:rPr>
        <w:t>农村局</w:t>
      </w:r>
      <w:r>
        <w:rPr>
          <w:rFonts w:ascii="仿宋_GB2312" w:eastAsia="仿宋_GB2312"/>
          <w:color w:val="000000" w:themeColor="text1"/>
          <w:sz w:val="32"/>
          <w:szCs w:val="32"/>
        </w:rPr>
        <w:t>无依</w:t>
      </w:r>
      <w:proofErr w:type="gramEnd"/>
      <w:r>
        <w:rPr>
          <w:rFonts w:ascii="仿宋_GB2312" w:eastAsia="仿宋_GB2312"/>
          <w:color w:val="000000" w:themeColor="text1"/>
          <w:sz w:val="32"/>
          <w:szCs w:val="32"/>
        </w:rPr>
        <w:t>申请公开情况。</w:t>
      </w:r>
    </w:p>
    <w:p w:rsidR="00AF4282" w:rsidRDefault="00AF4282" w:rsidP="00AF4282">
      <w:pPr>
        <w:widowControl/>
        <w:shd w:val="clear" w:color="auto" w:fill="FFFFFF"/>
        <w:spacing w:line="560" w:lineRule="exact"/>
        <w:ind w:firstLineChars="200" w:firstLine="640"/>
        <w:rPr>
          <w:rFonts w:ascii="楷体_GB2312" w:eastAsia="楷体_GB2312" w:hAnsi="微软雅黑" w:cs="宋体"/>
          <w:bCs/>
          <w:color w:val="000000" w:themeColor="text1"/>
          <w:kern w:val="0"/>
          <w:sz w:val="32"/>
          <w:szCs w:val="32"/>
        </w:rPr>
      </w:pPr>
      <w:r>
        <w:rPr>
          <w:rFonts w:ascii="楷体_GB2312" w:eastAsia="楷体_GB2312" w:hAnsi="微软雅黑" w:cs="宋体" w:hint="eastAsia"/>
          <w:bCs/>
          <w:color w:val="000000" w:themeColor="text1"/>
          <w:kern w:val="0"/>
          <w:sz w:val="32"/>
          <w:szCs w:val="32"/>
        </w:rPr>
        <w:t>（三）政府信息管理</w:t>
      </w:r>
    </w:p>
    <w:p w:rsidR="00AF4282" w:rsidRDefault="00AF4282" w:rsidP="00AF4282">
      <w:pPr>
        <w:widowControl/>
        <w:shd w:val="clear" w:color="auto" w:fill="FFFFFF"/>
        <w:spacing w:line="560" w:lineRule="exact"/>
        <w:ind w:firstLineChars="200" w:firstLine="640"/>
        <w:rPr>
          <w:rFonts w:ascii="仿宋_GB2312" w:eastAsia="仿宋_GB2312" w:hAnsi="微软雅黑" w:cs="宋体"/>
          <w:b/>
          <w:color w:val="000000" w:themeColor="text1"/>
          <w:kern w:val="0"/>
          <w:sz w:val="32"/>
          <w:szCs w:val="32"/>
        </w:rPr>
      </w:pPr>
      <w:r>
        <w:rPr>
          <w:rFonts w:ascii="仿宋_GB2312" w:eastAsia="仿宋_GB2312" w:hint="eastAsia"/>
          <w:color w:val="000000" w:themeColor="text1"/>
          <w:sz w:val="32"/>
          <w:szCs w:val="32"/>
        </w:rPr>
        <w:t>承德高新区农业农村局</w:t>
      </w:r>
      <w:r>
        <w:rPr>
          <w:rStyle w:val="qowt-font12"/>
          <w:rFonts w:ascii="仿宋_GB2312" w:eastAsia="仿宋_GB2312" w:hint="eastAsia"/>
          <w:color w:val="000000" w:themeColor="text1"/>
          <w:sz w:val="32"/>
          <w:szCs w:val="32"/>
          <w:shd w:val="clear" w:color="auto" w:fill="FFFFFF"/>
        </w:rPr>
        <w:t>把该项工作列入了重要议事日程,确保信息公开工作有条不紊地开展。在全部门建立“一把手亲自抓、分管领导重点抓、有关人员具体抓、一级抓一</w:t>
      </w:r>
      <w:r>
        <w:rPr>
          <w:rStyle w:val="qowt-font12"/>
          <w:rFonts w:ascii="仿宋_GB2312" w:eastAsia="仿宋_GB2312" w:hint="eastAsia"/>
          <w:color w:val="000000" w:themeColor="text1"/>
          <w:sz w:val="32"/>
          <w:szCs w:val="32"/>
          <w:shd w:val="clear" w:color="auto" w:fill="FFFFFF"/>
        </w:rPr>
        <w:lastRenderedPageBreak/>
        <w:t>级、层层抓落实”工作机制。对主动公开的政府信息,坚持先审查、后公开,一事一审原则,严格做好保密审查工作,审查实行领导责任制,必须经过领导审查确认是否发布;对密级问题没有把握的,商请保密部门审定。对申请公开的政府信息从承办人、分管领导、主要领导层层审核把关,确保公开符合有关规定。</w:t>
      </w:r>
    </w:p>
    <w:p w:rsidR="00AF4282" w:rsidRDefault="00AF4282" w:rsidP="00AF4282">
      <w:pPr>
        <w:widowControl/>
        <w:shd w:val="clear" w:color="auto" w:fill="FFFFFF"/>
        <w:spacing w:line="560" w:lineRule="exact"/>
        <w:ind w:firstLineChars="200" w:firstLine="640"/>
        <w:rPr>
          <w:rFonts w:ascii="楷体_GB2312" w:eastAsia="楷体_GB2312" w:hAnsi="微软雅黑" w:cs="宋体"/>
          <w:bCs/>
          <w:color w:val="000000" w:themeColor="text1"/>
          <w:kern w:val="0"/>
          <w:sz w:val="32"/>
          <w:szCs w:val="32"/>
        </w:rPr>
      </w:pPr>
      <w:r>
        <w:rPr>
          <w:rFonts w:ascii="楷体_GB2312" w:eastAsia="楷体_GB2312" w:hAnsi="微软雅黑" w:cs="宋体" w:hint="eastAsia"/>
          <w:bCs/>
          <w:color w:val="000000" w:themeColor="text1"/>
          <w:kern w:val="0"/>
          <w:sz w:val="32"/>
          <w:szCs w:val="32"/>
        </w:rPr>
        <w:t>（四）政府信息公开平台建设</w:t>
      </w:r>
    </w:p>
    <w:p w:rsidR="00AF4282" w:rsidRDefault="00AF4282" w:rsidP="00AF4282">
      <w:pPr>
        <w:widowControl/>
        <w:shd w:val="clear" w:color="auto" w:fill="FFFFFF"/>
        <w:spacing w:line="56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依托承德高新区政务门户网站开展政务信息公开工作。</w:t>
      </w:r>
    </w:p>
    <w:p w:rsidR="00AF4282" w:rsidRDefault="00AF4282" w:rsidP="00AF4282">
      <w:pPr>
        <w:widowControl/>
        <w:shd w:val="clear" w:color="auto" w:fill="FFFFFF"/>
        <w:spacing w:line="560" w:lineRule="exact"/>
        <w:ind w:firstLineChars="200" w:firstLine="640"/>
        <w:rPr>
          <w:rFonts w:ascii="楷体_GB2312" w:eastAsia="楷体_GB2312" w:hAnsi="微软雅黑" w:cs="宋体"/>
          <w:bCs/>
          <w:color w:val="000000" w:themeColor="text1"/>
          <w:kern w:val="0"/>
          <w:sz w:val="32"/>
          <w:szCs w:val="32"/>
        </w:rPr>
      </w:pPr>
      <w:r>
        <w:rPr>
          <w:rFonts w:ascii="楷体_GB2312" w:eastAsia="楷体_GB2312" w:hAnsi="微软雅黑" w:cs="宋体" w:hint="eastAsia"/>
          <w:bCs/>
          <w:color w:val="000000" w:themeColor="text1"/>
          <w:kern w:val="0"/>
          <w:sz w:val="32"/>
          <w:szCs w:val="32"/>
        </w:rPr>
        <w:t>（五）监督保障</w:t>
      </w:r>
    </w:p>
    <w:p w:rsidR="00AF4282" w:rsidRDefault="00AF4282" w:rsidP="00AF4282">
      <w:pPr>
        <w:spacing w:line="560" w:lineRule="exact"/>
        <w:ind w:firstLineChars="200"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提高服务水平，加强社会监督，增加工作透明度，通过多种形式向社会公开发布各种信息，将信息公开工作纳入承德高新区农业农村局的年度重点工作，保证信息公开工作有效运行。</w:t>
      </w:r>
    </w:p>
    <w:p w:rsidR="00AF4282" w:rsidRDefault="00AF4282" w:rsidP="00AF4282">
      <w:pPr>
        <w:ind w:firstLineChars="200" w:firstLine="640"/>
        <w:jc w:val="left"/>
        <w:rPr>
          <w:rFonts w:ascii="黑体" w:eastAsia="黑体" w:hAnsi="黑体" w:cs="黑体"/>
          <w:sz w:val="32"/>
          <w:szCs w:val="32"/>
        </w:rPr>
      </w:pPr>
      <w:r>
        <w:rPr>
          <w:rFonts w:ascii="黑体" w:eastAsia="黑体" w:hAnsi="黑体" w:cs="黑体" w:hint="eastAsia"/>
          <w:sz w:val="32"/>
          <w:szCs w:val="32"/>
        </w:rPr>
        <w:t>二、主动公开政府信息情况</w:t>
      </w:r>
    </w:p>
    <w:tbl>
      <w:tblPr>
        <w:tblW w:w="8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600"/>
        <w:gridCol w:w="1935"/>
        <w:gridCol w:w="1724"/>
        <w:gridCol w:w="1881"/>
      </w:tblGrid>
      <w:tr w:rsidR="00AF4282" w:rsidTr="000D5CF2">
        <w:trPr>
          <w:trHeight w:val="495"/>
          <w:jc w:val="center"/>
        </w:trPr>
        <w:tc>
          <w:tcPr>
            <w:tcW w:w="8140" w:type="dxa"/>
            <w:gridSpan w:val="4"/>
            <w:tcBorders>
              <w:tl2br w:val="nil"/>
              <w:tr2bl w:val="nil"/>
            </w:tcBorders>
            <w:shd w:val="clear" w:color="auto" w:fill="C6D9F1"/>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第二十条第（一）项</w:t>
            </w:r>
          </w:p>
        </w:tc>
      </w:tr>
      <w:tr w:rsidR="00AF4282" w:rsidTr="000D5CF2">
        <w:trPr>
          <w:trHeight w:val="882"/>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信息内容</w:t>
            </w:r>
          </w:p>
        </w:tc>
        <w:tc>
          <w:tcPr>
            <w:tcW w:w="1935" w:type="dxa"/>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本年制发件数</w:t>
            </w:r>
          </w:p>
        </w:tc>
        <w:tc>
          <w:tcPr>
            <w:tcW w:w="1724" w:type="dxa"/>
            <w:tcBorders>
              <w:tl2br w:val="nil"/>
              <w:tr2bl w:val="nil"/>
            </w:tcBorders>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本年废止件数</w:t>
            </w:r>
          </w:p>
        </w:tc>
        <w:tc>
          <w:tcPr>
            <w:tcW w:w="1881" w:type="dxa"/>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现行有效件数</w:t>
            </w:r>
          </w:p>
        </w:tc>
      </w:tr>
      <w:tr w:rsidR="00AF4282" w:rsidTr="000D5CF2">
        <w:trPr>
          <w:trHeight w:val="523"/>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ascii="宋体" w:eastAsia="宋体" w:hAnsi="宋体" w:cs="宋体" w:hint="eastAsia"/>
                <w:color w:val="000000"/>
                <w:kern w:val="0"/>
                <w:sz w:val="20"/>
                <w:szCs w:val="20"/>
              </w:rPr>
              <w:t>规章</w:t>
            </w:r>
          </w:p>
        </w:tc>
        <w:tc>
          <w:tcPr>
            <w:tcW w:w="1935"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c>
          <w:tcPr>
            <w:tcW w:w="1724" w:type="dxa"/>
            <w:tcBorders>
              <w:tl2br w:val="nil"/>
              <w:tr2bl w:val="nil"/>
            </w:tcBorders>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c>
          <w:tcPr>
            <w:tcW w:w="1881"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r>
      <w:tr w:rsidR="00AF4282" w:rsidTr="000D5CF2">
        <w:trPr>
          <w:trHeight w:val="471"/>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ascii="宋体" w:eastAsia="宋体" w:hAnsi="宋体" w:cs="宋体" w:hint="eastAsia"/>
                <w:color w:val="000000"/>
                <w:kern w:val="0"/>
                <w:sz w:val="20"/>
                <w:szCs w:val="20"/>
              </w:rPr>
              <w:t>行政规范性文件</w:t>
            </w:r>
          </w:p>
        </w:tc>
        <w:tc>
          <w:tcPr>
            <w:tcW w:w="1935"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c>
          <w:tcPr>
            <w:tcW w:w="1724" w:type="dxa"/>
            <w:tcBorders>
              <w:tl2br w:val="nil"/>
              <w:tr2bl w:val="nil"/>
            </w:tcBorders>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c>
          <w:tcPr>
            <w:tcW w:w="1881"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r>
      <w:tr w:rsidR="00AF4282" w:rsidTr="000D5CF2">
        <w:trPr>
          <w:trHeight w:val="480"/>
          <w:jc w:val="center"/>
        </w:trPr>
        <w:tc>
          <w:tcPr>
            <w:tcW w:w="8140" w:type="dxa"/>
            <w:gridSpan w:val="4"/>
            <w:tcBorders>
              <w:tl2br w:val="nil"/>
              <w:tr2bl w:val="nil"/>
            </w:tcBorders>
            <w:shd w:val="clear" w:color="auto" w:fill="C6D9F1"/>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第二十条第（五）项</w:t>
            </w:r>
          </w:p>
        </w:tc>
      </w:tr>
      <w:tr w:rsidR="00AF4282" w:rsidTr="000D5CF2">
        <w:trPr>
          <w:trHeight w:val="634"/>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信息内容</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本年处理决定数量</w:t>
            </w:r>
          </w:p>
        </w:tc>
      </w:tr>
      <w:tr w:rsidR="00AF4282" w:rsidTr="000D5CF2">
        <w:trPr>
          <w:trHeight w:val="528"/>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ascii="宋体" w:eastAsia="宋体" w:hAnsi="宋体" w:cs="宋体" w:hint="eastAsia"/>
                <w:color w:val="000000"/>
                <w:kern w:val="0"/>
                <w:sz w:val="20"/>
                <w:szCs w:val="20"/>
              </w:rPr>
              <w:t>行政许可</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r>
      <w:tr w:rsidR="00AF4282" w:rsidTr="000D5CF2">
        <w:trPr>
          <w:trHeight w:val="406"/>
          <w:jc w:val="center"/>
        </w:trPr>
        <w:tc>
          <w:tcPr>
            <w:tcW w:w="8140" w:type="dxa"/>
            <w:gridSpan w:val="4"/>
            <w:tcBorders>
              <w:tl2br w:val="nil"/>
              <w:tr2bl w:val="nil"/>
            </w:tcBorders>
            <w:shd w:val="clear" w:color="auto" w:fill="C6D9F1"/>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第二十条第（六）项</w:t>
            </w:r>
          </w:p>
        </w:tc>
      </w:tr>
      <w:tr w:rsidR="00AF4282" w:rsidTr="000D5CF2">
        <w:trPr>
          <w:trHeight w:val="634"/>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信息内容</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本年处理决定数量</w:t>
            </w:r>
          </w:p>
        </w:tc>
      </w:tr>
      <w:tr w:rsidR="00AF4282" w:rsidTr="000D5CF2">
        <w:trPr>
          <w:trHeight w:val="430"/>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ascii="宋体" w:eastAsia="宋体" w:hAnsi="宋体" w:cs="宋体" w:hint="eastAsia"/>
                <w:color w:val="000000"/>
                <w:kern w:val="0"/>
                <w:sz w:val="20"/>
                <w:szCs w:val="20"/>
              </w:rPr>
              <w:t>行政处罚</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r>
      <w:tr w:rsidR="00AF4282" w:rsidTr="000D5CF2">
        <w:trPr>
          <w:trHeight w:val="409"/>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ascii="宋体" w:eastAsia="宋体" w:hAnsi="宋体" w:cs="宋体" w:hint="eastAsia"/>
                <w:color w:val="000000"/>
                <w:kern w:val="0"/>
                <w:sz w:val="20"/>
                <w:szCs w:val="20"/>
              </w:rPr>
              <w:lastRenderedPageBreak/>
              <w:t>行政强制</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hint="eastAsia"/>
              </w:rPr>
              <w:t>0</w:t>
            </w:r>
          </w:p>
        </w:tc>
      </w:tr>
      <w:tr w:rsidR="00AF4282" w:rsidTr="000D5CF2">
        <w:trPr>
          <w:trHeight w:val="474"/>
          <w:jc w:val="center"/>
        </w:trPr>
        <w:tc>
          <w:tcPr>
            <w:tcW w:w="8140" w:type="dxa"/>
            <w:gridSpan w:val="4"/>
            <w:tcBorders>
              <w:tl2br w:val="nil"/>
              <w:tr2bl w:val="nil"/>
            </w:tcBorders>
            <w:shd w:val="clear" w:color="auto" w:fill="C6D9F1"/>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第二十条第（八）项</w:t>
            </w:r>
          </w:p>
        </w:tc>
      </w:tr>
      <w:tr w:rsidR="00AF4282" w:rsidTr="000D5CF2">
        <w:trPr>
          <w:trHeight w:val="270"/>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kern w:val="0"/>
                <w:sz w:val="20"/>
                <w:szCs w:val="20"/>
              </w:rPr>
              <w:t>信息内容</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ascii="宋体" w:eastAsia="宋体" w:hAnsi="宋体" w:cs="宋体" w:hint="eastAsia"/>
                <w:color w:val="000000"/>
                <w:sz w:val="20"/>
                <w:szCs w:val="20"/>
                <w:shd w:val="clear" w:color="auto" w:fill="FFFFFF"/>
              </w:rPr>
              <w:t>本年收费金额（单位：万元）</w:t>
            </w:r>
          </w:p>
        </w:tc>
      </w:tr>
      <w:tr w:rsidR="00AF4282" w:rsidTr="000D5CF2">
        <w:trPr>
          <w:trHeight w:val="551"/>
          <w:jc w:val="center"/>
        </w:trPr>
        <w:tc>
          <w:tcPr>
            <w:tcW w:w="2600" w:type="dxa"/>
            <w:tcBorders>
              <w:tl2br w:val="nil"/>
              <w:tr2bl w:val="nil"/>
            </w:tcBorders>
            <w:noWrap/>
            <w:tcMar>
              <w:left w:w="108" w:type="dxa"/>
              <w:right w:w="108" w:type="dxa"/>
            </w:tcMar>
            <w:vAlign w:val="center"/>
          </w:tcPr>
          <w:p w:rsidR="00AF4282" w:rsidRDefault="00AF4282" w:rsidP="000D5CF2">
            <w:pPr>
              <w:widowControl/>
              <w:spacing w:after="180"/>
              <w:jc w:val="left"/>
              <w:rPr>
                <w:rFonts w:ascii="Calibri" w:eastAsia="宋体" w:hAnsi="Calibri" w:cs="Times New Roman"/>
              </w:rPr>
            </w:pPr>
            <w:r>
              <w:rPr>
                <w:rFonts w:ascii="宋体" w:eastAsia="宋体" w:hAnsi="宋体" w:cs="宋体" w:hint="eastAsia"/>
                <w:color w:val="000000"/>
                <w:kern w:val="0"/>
                <w:sz w:val="20"/>
                <w:szCs w:val="20"/>
              </w:rPr>
              <w:t>行政事业性收费</w:t>
            </w:r>
          </w:p>
        </w:tc>
        <w:tc>
          <w:tcPr>
            <w:tcW w:w="5540" w:type="dxa"/>
            <w:gridSpan w:val="3"/>
            <w:tcBorders>
              <w:tl2br w:val="nil"/>
              <w:tr2bl w:val="nil"/>
            </w:tcBorders>
            <w:noWrap/>
            <w:tcMar>
              <w:left w:w="108" w:type="dxa"/>
              <w:right w:w="108" w:type="dxa"/>
            </w:tcMar>
            <w:vAlign w:val="center"/>
          </w:tcPr>
          <w:p w:rsidR="00AF4282" w:rsidRDefault="00AF4282" w:rsidP="000D5CF2">
            <w:pPr>
              <w:widowControl/>
              <w:spacing w:after="180"/>
              <w:jc w:val="center"/>
              <w:rPr>
                <w:rFonts w:ascii="Calibri" w:eastAsia="宋体" w:hAnsi="Calibri" w:cs="Times New Roman"/>
              </w:rPr>
            </w:pPr>
            <w:r>
              <w:rPr>
                <w:rFonts w:hint="eastAsia"/>
              </w:rPr>
              <w:t>0</w:t>
            </w:r>
          </w:p>
        </w:tc>
      </w:tr>
    </w:tbl>
    <w:p w:rsidR="00AF4282" w:rsidRDefault="00AF4282" w:rsidP="00AF4282">
      <w:pPr>
        <w:rPr>
          <w:rFonts w:ascii="黑体" w:eastAsia="黑体" w:hAnsi="黑体" w:cs="黑体"/>
          <w:sz w:val="32"/>
          <w:szCs w:val="32"/>
        </w:rPr>
      </w:pPr>
    </w:p>
    <w:p w:rsidR="00AF4282" w:rsidRDefault="00AF4282" w:rsidP="00AF4282">
      <w:pPr>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16"/>
        <w:gridCol w:w="854"/>
        <w:gridCol w:w="2085"/>
        <w:gridCol w:w="813"/>
        <w:gridCol w:w="755"/>
        <w:gridCol w:w="755"/>
        <w:gridCol w:w="813"/>
        <w:gridCol w:w="973"/>
        <w:gridCol w:w="712"/>
        <w:gridCol w:w="695"/>
      </w:tblGrid>
      <w:tr w:rsidR="00AF4282" w:rsidTr="000D5CF2">
        <w:trPr>
          <w:jc w:val="center"/>
        </w:trPr>
        <w:tc>
          <w:tcPr>
            <w:tcW w:w="3555"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6"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申请人情况</w:t>
            </w:r>
          </w:p>
        </w:tc>
      </w:tr>
      <w:tr w:rsidR="00AF4282" w:rsidTr="000D5CF2">
        <w:trPr>
          <w:jc w:val="center"/>
        </w:trPr>
        <w:tc>
          <w:tcPr>
            <w:tcW w:w="3555"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1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自然人</w:t>
            </w:r>
          </w:p>
        </w:tc>
        <w:tc>
          <w:tcPr>
            <w:tcW w:w="400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总计</w:t>
            </w:r>
          </w:p>
        </w:tc>
      </w:tr>
      <w:tr w:rsidR="00AF4282" w:rsidTr="000D5CF2">
        <w:trPr>
          <w:jc w:val="center"/>
        </w:trPr>
        <w:tc>
          <w:tcPr>
            <w:tcW w:w="3555"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1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r>
      <w:tr w:rsidR="00AF4282" w:rsidTr="000D5CF2">
        <w:trPr>
          <w:jc w:val="center"/>
        </w:trPr>
        <w:tc>
          <w:tcPr>
            <w:tcW w:w="355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16</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16</w:t>
            </w:r>
          </w:p>
        </w:tc>
      </w:tr>
      <w:tr w:rsidR="00AF4282" w:rsidTr="000D5CF2">
        <w:trPr>
          <w:jc w:val="center"/>
        </w:trPr>
        <w:tc>
          <w:tcPr>
            <w:tcW w:w="355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hint="eastAsia"/>
              </w:rPr>
              <w:t>0</w:t>
            </w:r>
          </w:p>
        </w:tc>
      </w:tr>
      <w:tr w:rsidR="00AF4282" w:rsidTr="000D5CF2">
        <w:trPr>
          <w:jc w:val="center"/>
        </w:trPr>
        <w:tc>
          <w:tcPr>
            <w:tcW w:w="61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三、本年度办理结果</w:t>
            </w:r>
          </w:p>
        </w:tc>
        <w:tc>
          <w:tcPr>
            <w:tcW w:w="293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line="560" w:lineRule="exact"/>
              <w:jc w:val="left"/>
            </w:pPr>
            <w:r>
              <w:rPr>
                <w:rFonts w:ascii="宋体" w:eastAsia="宋体" w:hAnsi="宋体" w:cs="宋体" w:hint="eastAsia"/>
                <w:kern w:val="0"/>
                <w:sz w:val="20"/>
                <w:szCs w:val="20"/>
                <w:lang/>
              </w:rPr>
              <w:t>（一）予以公开</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16</w:t>
            </w:r>
          </w:p>
        </w:tc>
        <w:tc>
          <w:tcPr>
            <w:tcW w:w="69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16</w:t>
            </w:r>
            <w:r>
              <w:rPr>
                <w:rFonts w:ascii="Calibri" w:hAnsi="Calibri" w:cs="Calibri"/>
                <w:kern w:val="0"/>
                <w:sz w:val="20"/>
                <w:szCs w:val="20"/>
              </w:rPr>
              <w:t> </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93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line="560" w:lineRule="exact"/>
              <w:jc w:val="left"/>
            </w:pPr>
            <w:r>
              <w:rPr>
                <w:rFonts w:ascii="宋体" w:eastAsia="宋体" w:hAnsi="宋体" w:cs="宋体" w:hint="eastAsia"/>
                <w:kern w:val="0"/>
                <w:sz w:val="20"/>
                <w:szCs w:val="20"/>
                <w:lang/>
              </w:rPr>
              <w:t>（二）部分公开</w:t>
            </w:r>
            <w:r>
              <w:rPr>
                <w:rFonts w:ascii="楷体" w:eastAsia="楷体" w:hAnsi="楷体" w:cs="楷体"/>
                <w:kern w:val="0"/>
                <w:sz w:val="20"/>
                <w:szCs w:val="20"/>
                <w:lang/>
              </w:rPr>
              <w:t>（区分处理的，只计这一情形，不计其他情形）</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（三）不予公开</w:t>
            </w: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1.属于国家秘密</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2.其他法律行政法规禁止公开</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4.保护第三方合法权益</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5.属于三类内部事务信息</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6.属于四类过程性信息</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7.属于行政执法案卷</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8.属于行政查询事项</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trHeight w:val="522"/>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（四）无法提供</w:t>
            </w: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1.本机关不掌握相关政府信息</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2.没有现成信息需要另行制作</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3.补正后申请内容仍不明确</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1.信访举报投诉类申请</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2.重复申请</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3.要求提供公开出版物</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4.无正当理由大量反复申请</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85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08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93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（六）其他处理</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r>
      <w:tr w:rsidR="00AF4282" w:rsidTr="000D5CF2">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293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楷体" w:eastAsia="楷体" w:hAnsi="楷体" w:cs="楷体" w:hint="eastAsia"/>
                <w:kern w:val="0"/>
                <w:sz w:val="20"/>
                <w:szCs w:val="20"/>
              </w:rPr>
              <w:t>（七）总计</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16</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16</w:t>
            </w:r>
          </w:p>
        </w:tc>
      </w:tr>
      <w:tr w:rsidR="00AF4282" w:rsidTr="000D5CF2">
        <w:trPr>
          <w:jc w:val="center"/>
        </w:trPr>
        <w:tc>
          <w:tcPr>
            <w:tcW w:w="355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left"/>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55"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hint="eastAsia"/>
              </w:rPr>
              <w:t>0</w:t>
            </w:r>
          </w:p>
        </w:tc>
        <w:tc>
          <w:tcPr>
            <w:tcW w:w="81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973" w:type="dxa"/>
            <w:tcBorders>
              <w:top w:val="nil"/>
              <w:left w:val="nil"/>
              <w:bottom w:val="single" w:sz="8" w:space="0" w:color="auto"/>
              <w:right w:val="single" w:sz="8" w:space="0" w:color="auto"/>
            </w:tcBorders>
            <w:shd w:val="clear" w:color="auto" w:fill="auto"/>
            <w:tcMar>
              <w:left w:w="108" w:type="dxa"/>
              <w:right w:w="108" w:type="dxa"/>
            </w:tcMar>
          </w:tcPr>
          <w:p w:rsidR="00AF4282" w:rsidRDefault="00AF4282" w:rsidP="000D5CF2">
            <w:r>
              <w:rPr>
                <w:rFonts w:ascii="Calibri" w:hAnsi="Calibri" w:cs="Calibri" w:hint="eastAsia"/>
                <w:kern w:val="0"/>
                <w:sz w:val="20"/>
                <w:szCs w:val="20"/>
              </w:rPr>
              <w:t>0</w:t>
            </w:r>
          </w:p>
        </w:tc>
        <w:tc>
          <w:tcPr>
            <w:tcW w:w="712"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9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rPr>
                <w:rFonts w:ascii="宋体"/>
                <w:sz w:val="24"/>
              </w:rPr>
            </w:pPr>
            <w:r>
              <w:rPr>
                <w:rFonts w:ascii="Calibri" w:hAnsi="Calibri" w:cs="Calibri" w:hint="eastAsia"/>
                <w:kern w:val="0"/>
                <w:sz w:val="20"/>
                <w:szCs w:val="20"/>
              </w:rPr>
              <w:t>0</w:t>
            </w:r>
          </w:p>
        </w:tc>
      </w:tr>
    </w:tbl>
    <w:p w:rsidR="00AF4282" w:rsidRDefault="00AF4282" w:rsidP="00AF4282">
      <w:pPr>
        <w:rPr>
          <w:rFonts w:ascii="黑体" w:eastAsia="黑体" w:hAnsi="黑体" w:cs="黑体"/>
          <w:sz w:val="32"/>
          <w:szCs w:val="32"/>
        </w:rPr>
      </w:pPr>
    </w:p>
    <w:p w:rsidR="00AF4282" w:rsidRDefault="00AF4282" w:rsidP="00AF4282">
      <w:pPr>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AF4282" w:rsidTr="000D5CF2">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行政诉讼</w:t>
            </w:r>
          </w:p>
        </w:tc>
      </w:tr>
      <w:tr w:rsidR="00AF4282" w:rsidTr="000D5CF2">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复议后起诉</w:t>
            </w:r>
          </w:p>
        </w:tc>
      </w:tr>
      <w:tr w:rsidR="00AF4282" w:rsidTr="000D5CF2">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color w:val="000000"/>
                <w:kern w:val="0"/>
                <w:sz w:val="20"/>
                <w:szCs w:val="20"/>
              </w:rPr>
              <w:t>总计</w:t>
            </w:r>
          </w:p>
        </w:tc>
      </w:tr>
      <w:tr w:rsidR="00AF4282" w:rsidTr="000D5CF2">
        <w:trPr>
          <w:trHeight w:val="872"/>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pPr>
            <w:r>
              <w:rPr>
                <w:rFonts w:hint="eastAsia"/>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Calibri" w:hAnsi="Calibri" w:cs="Calibri" w:hint="eastAsia"/>
                <w:kern w:val="0"/>
                <w:sz w:val="20"/>
                <w:szCs w:val="20"/>
              </w:rPr>
              <w:t>0</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widowControl/>
              <w:spacing w:after="180"/>
              <w:jc w:val="cente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AF4282" w:rsidRDefault="00AF4282" w:rsidP="000D5CF2">
            <w:pPr>
              <w:rPr>
                <w:rFonts w:ascii="宋体"/>
                <w:sz w:val="24"/>
              </w:rPr>
            </w:pPr>
            <w:r>
              <w:rPr>
                <w:rFonts w:ascii="宋体" w:eastAsia="宋体" w:hAnsi="宋体" w:cs="宋体" w:hint="eastAsia"/>
                <w:kern w:val="0"/>
                <w:sz w:val="20"/>
                <w:szCs w:val="20"/>
              </w:rPr>
              <w:t>0</w:t>
            </w:r>
          </w:p>
        </w:tc>
      </w:tr>
    </w:tbl>
    <w:p w:rsidR="00AF4282" w:rsidRDefault="00AF4282" w:rsidP="00AF4282">
      <w:pPr>
        <w:rPr>
          <w:rFonts w:ascii="黑体" w:eastAsia="黑体" w:hAnsi="黑体" w:cs="黑体"/>
          <w:sz w:val="32"/>
          <w:szCs w:val="32"/>
        </w:rPr>
      </w:pPr>
    </w:p>
    <w:p w:rsidR="00AF4282" w:rsidRDefault="00AF4282" w:rsidP="00AF4282">
      <w:pPr>
        <w:ind w:firstLineChars="200" w:firstLine="640"/>
        <w:rPr>
          <w:rFonts w:ascii="黑体" w:eastAsia="黑体" w:hAnsi="黑体" w:cs="黑体"/>
          <w:sz w:val="32"/>
          <w:szCs w:val="32"/>
        </w:rPr>
      </w:pPr>
      <w:r>
        <w:rPr>
          <w:rFonts w:ascii="黑体" w:eastAsia="黑体" w:hAnsi="黑体" w:cs="黑体" w:hint="eastAsia"/>
          <w:sz w:val="32"/>
          <w:szCs w:val="32"/>
        </w:rPr>
        <w:t>五、存在的主要问题及改进情况</w:t>
      </w:r>
    </w:p>
    <w:p w:rsidR="00AF4282" w:rsidRDefault="00AF4282" w:rsidP="00AF4282">
      <w:pPr>
        <w:spacing w:before="150" w:after="150"/>
        <w:ind w:firstLineChars="200" w:firstLine="640"/>
        <w:contextualSpacing/>
        <w:rPr>
          <w:rFonts w:ascii="仿宋_GB2312" w:eastAsia="仿宋_GB2312"/>
          <w:sz w:val="32"/>
          <w:szCs w:val="32"/>
        </w:rPr>
      </w:pPr>
      <w:r>
        <w:rPr>
          <w:rFonts w:ascii="仿宋_GB2312" w:eastAsia="仿宋_GB2312" w:hint="eastAsia"/>
          <w:sz w:val="32"/>
          <w:szCs w:val="32"/>
        </w:rPr>
        <w:lastRenderedPageBreak/>
        <w:t>承德高新区农业农村局的政府信息公开工作与上级的工作要求还存在一定差距。在今后的工作中，我们将针对薄弱环节，采取切实有效措施，进一步完善各项工作制度,总结实践经验，把握公开工作的规律性，坚持及时公布和更新信息，使政府信息公开工作做到有重点、有形式、有载体、有承诺、有实效, 不断提高我局信息公开工作水平,推动政府信息公开工作上新台阶。</w:t>
      </w:r>
    </w:p>
    <w:p w:rsidR="00AF4282" w:rsidRDefault="00AF4282" w:rsidP="00AF4282">
      <w:pPr>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CC7A22" w:rsidRDefault="00AD302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承德高新区农业农村局</w:t>
      </w:r>
      <w:r>
        <w:rPr>
          <w:rFonts w:ascii="仿宋_GB2312" w:eastAsia="仿宋_GB2312" w:hint="eastAsia"/>
          <w:sz w:val="32"/>
          <w:szCs w:val="32"/>
        </w:rPr>
        <w:t>本年度未产生信息处理费。</w:t>
      </w:r>
    </w:p>
    <w:p w:rsidR="00EA0BDB" w:rsidRDefault="00EA0BDB" w:rsidP="00EA0BDB">
      <w:pPr>
        <w:pStyle w:val="a0"/>
        <w:rPr>
          <w:rFonts w:hint="eastAsia"/>
        </w:rPr>
      </w:pPr>
    </w:p>
    <w:p w:rsidR="00EA0BDB" w:rsidRDefault="00EA0BDB" w:rsidP="00EA0BDB">
      <w:pPr>
        <w:pStyle w:val="7"/>
        <w:rPr>
          <w:rFonts w:hint="eastAsia"/>
        </w:rPr>
      </w:pPr>
    </w:p>
    <w:p w:rsidR="00EA0BDB" w:rsidRDefault="00EA0BDB" w:rsidP="00EA0BDB">
      <w:pPr>
        <w:rPr>
          <w:rFonts w:hint="eastAsia"/>
        </w:rPr>
      </w:pPr>
    </w:p>
    <w:p w:rsidR="00EA0BDB" w:rsidRDefault="00EA0BDB" w:rsidP="00EA0BDB">
      <w:pPr>
        <w:pStyle w:val="a0"/>
        <w:rPr>
          <w:rFonts w:hint="eastAsia"/>
        </w:rPr>
      </w:pPr>
    </w:p>
    <w:p w:rsidR="00EA0BDB" w:rsidRPr="00EA0BDB" w:rsidRDefault="00EA0BDB" w:rsidP="00EA0BDB">
      <w:pPr>
        <w:pStyle w:val="7"/>
        <w:ind w:firstLineChars="700" w:firstLine="2240"/>
        <w:rPr>
          <w:rFonts w:ascii="仿宋_GB2312" w:eastAsia="仿宋_GB2312" w:hint="eastAsia"/>
          <w:sz w:val="32"/>
          <w:szCs w:val="32"/>
        </w:rPr>
      </w:pPr>
      <w:r w:rsidRPr="00EA0BDB">
        <w:rPr>
          <w:rFonts w:ascii="仿宋_GB2312" w:eastAsia="仿宋_GB2312" w:hint="eastAsia"/>
          <w:sz w:val="32"/>
          <w:szCs w:val="32"/>
        </w:rPr>
        <w:t>承德高新区农业农村局</w:t>
      </w:r>
    </w:p>
    <w:p w:rsidR="00EA0BDB" w:rsidRPr="00EA0BDB" w:rsidRDefault="00EA0BDB" w:rsidP="00EA0BDB">
      <w:pPr>
        <w:rPr>
          <w:rFonts w:ascii="仿宋_GB2312" w:eastAsia="仿宋_GB2312"/>
          <w:sz w:val="32"/>
          <w:szCs w:val="32"/>
        </w:rPr>
      </w:pPr>
      <w:r w:rsidRPr="00EA0BDB">
        <w:rPr>
          <w:rFonts w:ascii="仿宋_GB2312" w:eastAsia="仿宋_GB2312" w:hint="eastAsia"/>
          <w:sz w:val="32"/>
          <w:szCs w:val="32"/>
        </w:rPr>
        <w:t xml:space="preserve">                          </w:t>
      </w:r>
      <w:r>
        <w:rPr>
          <w:rFonts w:ascii="仿宋_GB2312" w:eastAsia="仿宋_GB2312" w:hint="eastAsia"/>
          <w:sz w:val="32"/>
          <w:szCs w:val="32"/>
        </w:rPr>
        <w:t xml:space="preserve">      </w:t>
      </w:r>
      <w:r w:rsidRPr="00EA0BDB">
        <w:rPr>
          <w:rFonts w:ascii="仿宋_GB2312" w:eastAsia="仿宋_GB2312" w:hint="eastAsia"/>
          <w:sz w:val="32"/>
          <w:szCs w:val="32"/>
        </w:rPr>
        <w:t xml:space="preserve"> 2023年12月31日</w:t>
      </w:r>
    </w:p>
    <w:sectPr w:rsidR="00EA0BDB" w:rsidRPr="00EA0BDB" w:rsidSect="00CC7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2B" w:rsidRDefault="00AD302B" w:rsidP="00702531">
      <w:r>
        <w:separator/>
      </w:r>
    </w:p>
  </w:endnote>
  <w:endnote w:type="continuationSeparator" w:id="0">
    <w:p w:rsidR="00AD302B" w:rsidRDefault="00AD302B" w:rsidP="00702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2B" w:rsidRDefault="00AD302B" w:rsidP="00702531">
      <w:r>
        <w:separator/>
      </w:r>
    </w:p>
  </w:footnote>
  <w:footnote w:type="continuationSeparator" w:id="0">
    <w:p w:rsidR="00AD302B" w:rsidRDefault="00AD302B" w:rsidP="00702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VmNTQ3N2ViOTM5ZmZiOGJjYjY2MGFjOWJjYzE2YTAifQ=="/>
  </w:docVars>
  <w:rsids>
    <w:rsidRoot w:val="00347FA6"/>
    <w:rsid w:val="000032E4"/>
    <w:rsid w:val="00043190"/>
    <w:rsid w:val="000753D8"/>
    <w:rsid w:val="000927CD"/>
    <w:rsid w:val="00144F35"/>
    <w:rsid w:val="001C263B"/>
    <w:rsid w:val="002815A3"/>
    <w:rsid w:val="0034521C"/>
    <w:rsid w:val="00347FA6"/>
    <w:rsid w:val="0040375C"/>
    <w:rsid w:val="004435AB"/>
    <w:rsid w:val="004979BF"/>
    <w:rsid w:val="004D4001"/>
    <w:rsid w:val="004E7D1A"/>
    <w:rsid w:val="004F2AE8"/>
    <w:rsid w:val="00561CD3"/>
    <w:rsid w:val="005D55F0"/>
    <w:rsid w:val="006224F5"/>
    <w:rsid w:val="00702531"/>
    <w:rsid w:val="00764945"/>
    <w:rsid w:val="00893B75"/>
    <w:rsid w:val="008E4B10"/>
    <w:rsid w:val="008F3081"/>
    <w:rsid w:val="0091775D"/>
    <w:rsid w:val="00947D18"/>
    <w:rsid w:val="00952445"/>
    <w:rsid w:val="00994F04"/>
    <w:rsid w:val="009B127A"/>
    <w:rsid w:val="00A64570"/>
    <w:rsid w:val="00AB1070"/>
    <w:rsid w:val="00AC09FC"/>
    <w:rsid w:val="00AD302B"/>
    <w:rsid w:val="00AF4282"/>
    <w:rsid w:val="00BA6944"/>
    <w:rsid w:val="00C124AB"/>
    <w:rsid w:val="00C42C9B"/>
    <w:rsid w:val="00CC7A22"/>
    <w:rsid w:val="00D37DA1"/>
    <w:rsid w:val="00D939D5"/>
    <w:rsid w:val="00DC20E0"/>
    <w:rsid w:val="00E12888"/>
    <w:rsid w:val="00E17C1F"/>
    <w:rsid w:val="00E41B44"/>
    <w:rsid w:val="00EA0BDB"/>
    <w:rsid w:val="00EF5E05"/>
    <w:rsid w:val="00F23CF4"/>
    <w:rsid w:val="00FA2B0D"/>
    <w:rsid w:val="00FC3C20"/>
    <w:rsid w:val="0F294957"/>
    <w:rsid w:val="19512771"/>
    <w:rsid w:val="342847B6"/>
    <w:rsid w:val="7F795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7A22"/>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99"/>
    <w:unhideWhenUsed/>
    <w:qFormat/>
    <w:rsid w:val="00CC7A22"/>
  </w:style>
  <w:style w:type="paragraph" w:styleId="7">
    <w:name w:val="index 7"/>
    <w:basedOn w:val="a"/>
    <w:next w:val="a"/>
    <w:uiPriority w:val="99"/>
    <w:unhideWhenUsed/>
    <w:qFormat/>
    <w:rsid w:val="00CC7A22"/>
    <w:pPr>
      <w:ind w:left="2520"/>
    </w:pPr>
  </w:style>
  <w:style w:type="paragraph" w:styleId="a4">
    <w:name w:val="footer"/>
    <w:basedOn w:val="a"/>
    <w:link w:val="Char"/>
    <w:qFormat/>
    <w:rsid w:val="00CC7A22"/>
    <w:pPr>
      <w:tabs>
        <w:tab w:val="center" w:pos="4153"/>
        <w:tab w:val="right" w:pos="8306"/>
      </w:tabs>
      <w:snapToGrid w:val="0"/>
      <w:jc w:val="left"/>
    </w:pPr>
    <w:rPr>
      <w:sz w:val="18"/>
      <w:szCs w:val="18"/>
    </w:rPr>
  </w:style>
  <w:style w:type="paragraph" w:styleId="a5">
    <w:name w:val="header"/>
    <w:basedOn w:val="a"/>
    <w:link w:val="Char0"/>
    <w:qFormat/>
    <w:rsid w:val="00CC7A2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C7A22"/>
    <w:pPr>
      <w:spacing w:beforeAutospacing="1" w:afterAutospacing="1"/>
      <w:jc w:val="left"/>
    </w:pPr>
    <w:rPr>
      <w:rFonts w:cs="Times New Roman"/>
      <w:kern w:val="0"/>
      <w:sz w:val="24"/>
    </w:rPr>
  </w:style>
  <w:style w:type="character" w:customStyle="1" w:styleId="Char0">
    <w:name w:val="页眉 Char"/>
    <w:basedOn w:val="a1"/>
    <w:link w:val="a5"/>
    <w:qFormat/>
    <w:rsid w:val="00CC7A22"/>
    <w:rPr>
      <w:rFonts w:asciiTheme="minorHAnsi" w:eastAsiaTheme="minorEastAsia" w:hAnsiTheme="minorHAnsi" w:cstheme="minorBidi"/>
      <w:kern w:val="2"/>
      <w:sz w:val="18"/>
      <w:szCs w:val="18"/>
    </w:rPr>
  </w:style>
  <w:style w:type="character" w:customStyle="1" w:styleId="Char">
    <w:name w:val="页脚 Char"/>
    <w:basedOn w:val="a1"/>
    <w:link w:val="a4"/>
    <w:qFormat/>
    <w:rsid w:val="00CC7A22"/>
    <w:rPr>
      <w:rFonts w:asciiTheme="minorHAnsi" w:eastAsiaTheme="minorEastAsia" w:hAnsiTheme="minorHAnsi" w:cstheme="minorBidi"/>
      <w:kern w:val="2"/>
      <w:sz w:val="18"/>
      <w:szCs w:val="18"/>
    </w:rPr>
  </w:style>
  <w:style w:type="character" w:customStyle="1" w:styleId="qowt-font12">
    <w:name w:val="qowt-font12"/>
    <w:basedOn w:val="a1"/>
    <w:qFormat/>
    <w:rsid w:val="00CC7A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746BA-A254-498C-89A4-19DD636B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杜春兰</cp:lastModifiedBy>
  <cp:revision>3</cp:revision>
  <cp:lastPrinted>2024-01-30T03:06:00Z</cp:lastPrinted>
  <dcterms:created xsi:type="dcterms:W3CDTF">2024-01-30T02:57:00Z</dcterms:created>
  <dcterms:modified xsi:type="dcterms:W3CDTF">2024-01-30T03:08:00Z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4CFFE77E07554395831660F40CFEE64C_12</vt:lpwstr>
  </property>
</Properties>
</file>