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9" w:lineRule="auto"/>
        <w:rPr>
          <w:rFonts w:ascii="Arial"/>
          <w:sz w:val="21"/>
        </w:rPr>
      </w:pPr>
    </w:p>
    <w:p>
      <w:pPr>
        <w:spacing w:line="289" w:lineRule="auto"/>
        <w:rPr>
          <w:rFonts w:ascii="Arial"/>
          <w:sz w:val="21"/>
        </w:rPr>
      </w:pPr>
    </w:p>
    <w:p>
      <w:pPr>
        <w:tabs>
          <w:tab w:val="left" w:pos="1468"/>
        </w:tabs>
        <w:spacing w:before="140" w:line="228" w:lineRule="auto"/>
        <w:ind w:left="3666" w:right="575" w:hanging="3066"/>
        <w:jc w:val="center"/>
        <w:rPr>
          <w:rFonts w:ascii="宋体" w:hAnsi="宋体" w:eastAsia="宋体" w:cs="宋体"/>
          <w:sz w:val="43"/>
          <w:szCs w:val="43"/>
        </w:rPr>
      </w:pPr>
      <w:r>
        <w:rPr>
          <w:rFonts w:hint="eastAsia" w:ascii="宋体" w:hAnsi="宋体" w:eastAsia="宋体" w:cs="宋体"/>
          <w:b/>
          <w:bCs/>
          <w:sz w:val="43"/>
          <w:szCs w:val="43"/>
          <w:u w:val="none" w:color="auto"/>
          <w:lang w:val="en-US" w:eastAsia="zh-CN"/>
        </w:rPr>
        <w:t>高新区</w:t>
      </w:r>
      <w:r>
        <w:rPr>
          <w:rFonts w:ascii="宋体" w:hAnsi="宋体" w:eastAsia="宋体" w:cs="宋体"/>
          <w:b/>
          <w:bCs/>
          <w:spacing w:val="29"/>
          <w:sz w:val="43"/>
          <w:szCs w:val="43"/>
        </w:rPr>
        <w:t>202</w:t>
      </w:r>
      <w:r>
        <w:rPr>
          <w:rFonts w:hint="eastAsia" w:ascii="宋体" w:hAnsi="宋体" w:eastAsia="宋体" w:cs="宋体"/>
          <w:b/>
          <w:bCs/>
          <w:spacing w:val="29"/>
          <w:sz w:val="43"/>
          <w:szCs w:val="43"/>
          <w:lang w:val="en-US" w:eastAsia="zh-CN"/>
        </w:rPr>
        <w:t>4</w:t>
      </w:r>
      <w:r>
        <w:rPr>
          <w:rFonts w:ascii="宋体" w:hAnsi="宋体" w:eastAsia="宋体" w:cs="宋体"/>
          <w:b/>
          <w:bCs/>
          <w:spacing w:val="29"/>
          <w:sz w:val="43"/>
          <w:szCs w:val="43"/>
        </w:rPr>
        <w:t>年</w:t>
      </w:r>
      <w:r>
        <w:rPr>
          <w:rFonts w:hint="eastAsia" w:ascii="宋体" w:hAnsi="宋体" w:eastAsia="宋体" w:cs="宋体"/>
          <w:b/>
          <w:bCs/>
          <w:spacing w:val="29"/>
          <w:sz w:val="43"/>
          <w:szCs w:val="43"/>
          <w:lang w:val="en-US" w:eastAsia="zh-CN"/>
        </w:rPr>
        <w:t>1</w:t>
      </w:r>
      <w:r>
        <w:rPr>
          <w:rFonts w:ascii="宋体" w:hAnsi="宋体" w:eastAsia="宋体" w:cs="宋体"/>
          <w:b/>
          <w:bCs/>
          <w:spacing w:val="29"/>
          <w:sz w:val="43"/>
          <w:szCs w:val="43"/>
        </w:rPr>
        <w:t>月招商引资</w:t>
      </w:r>
      <w:r>
        <w:rPr>
          <w:rFonts w:ascii="宋体" w:hAnsi="宋体" w:eastAsia="宋体" w:cs="宋体"/>
          <w:b/>
          <w:bCs/>
          <w:sz w:val="43"/>
          <w:szCs w:val="43"/>
        </w:rPr>
        <w:t>签约项目</w:t>
      </w:r>
    </w:p>
    <w:p>
      <w:pPr>
        <w:spacing w:line="329" w:lineRule="auto"/>
        <w:rPr>
          <w:rFonts w:ascii="Arial"/>
          <w:sz w:val="21"/>
        </w:rPr>
      </w:pPr>
    </w:p>
    <w:p>
      <w:pPr>
        <w:spacing w:line="329"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360" w:lineRule="auto"/>
        <w:ind w:left="600"/>
        <w:textAlignment w:val="baseline"/>
        <w:rPr>
          <w:rFonts w:ascii="仿宋" w:hAnsi="仿宋" w:eastAsia="仿宋" w:cs="仿宋"/>
          <w:sz w:val="32"/>
          <w:szCs w:val="32"/>
        </w:rPr>
      </w:pPr>
      <w:r>
        <w:rPr>
          <w:rFonts w:ascii="仿宋" w:hAnsi="仿宋" w:eastAsia="仿宋" w:cs="仿宋"/>
          <w:spacing w:val="20"/>
          <w:sz w:val="32"/>
          <w:szCs w:val="32"/>
        </w:rPr>
        <w:t>现对</w:t>
      </w:r>
      <w:r>
        <w:rPr>
          <w:rFonts w:hint="eastAsia" w:ascii="仿宋" w:hAnsi="仿宋" w:eastAsia="仿宋" w:cs="仿宋"/>
          <w:b w:val="0"/>
          <w:bCs w:val="0"/>
          <w:spacing w:val="52"/>
          <w:sz w:val="32"/>
          <w:szCs w:val="32"/>
          <w:u w:val="none" w:color="auto"/>
          <w:lang w:val="en-US" w:eastAsia="zh-CN"/>
        </w:rPr>
        <w:t>高新区</w:t>
      </w:r>
      <w:r>
        <w:rPr>
          <w:rFonts w:ascii="仿宋" w:hAnsi="仿宋" w:eastAsia="仿宋" w:cs="仿宋"/>
          <w:b w:val="0"/>
          <w:bCs w:val="0"/>
          <w:spacing w:val="20"/>
          <w:sz w:val="32"/>
          <w:szCs w:val="32"/>
          <w:u w:val="none" w:color="auto"/>
        </w:rPr>
        <w:t>202</w:t>
      </w:r>
      <w:r>
        <w:rPr>
          <w:rFonts w:hint="eastAsia" w:ascii="仿宋" w:hAnsi="仿宋" w:eastAsia="仿宋" w:cs="仿宋"/>
          <w:b w:val="0"/>
          <w:bCs w:val="0"/>
          <w:spacing w:val="20"/>
          <w:sz w:val="32"/>
          <w:szCs w:val="32"/>
          <w:u w:val="none" w:color="auto"/>
          <w:lang w:val="en-US" w:eastAsia="zh-CN"/>
        </w:rPr>
        <w:t>4</w:t>
      </w:r>
      <w:r>
        <w:rPr>
          <w:rFonts w:ascii="仿宋" w:hAnsi="仿宋" w:eastAsia="仿宋" w:cs="仿宋"/>
          <w:b w:val="0"/>
          <w:bCs w:val="0"/>
          <w:spacing w:val="20"/>
          <w:sz w:val="32"/>
          <w:szCs w:val="32"/>
          <w:u w:val="none" w:color="auto"/>
        </w:rPr>
        <w:t>年</w:t>
      </w:r>
      <w:r>
        <w:rPr>
          <w:rFonts w:hint="eastAsia" w:ascii="仿宋" w:hAnsi="仿宋" w:eastAsia="仿宋" w:cs="仿宋"/>
          <w:b w:val="0"/>
          <w:bCs w:val="0"/>
          <w:spacing w:val="20"/>
          <w:sz w:val="32"/>
          <w:szCs w:val="32"/>
          <w:u w:val="none" w:color="auto"/>
          <w:lang w:val="en-US" w:eastAsia="zh-CN"/>
        </w:rPr>
        <w:t>1月</w:t>
      </w:r>
      <w:r>
        <w:rPr>
          <w:rFonts w:ascii="仿宋" w:hAnsi="仿宋" w:eastAsia="仿宋" w:cs="仿宋"/>
          <w:b w:val="0"/>
          <w:bCs w:val="0"/>
          <w:spacing w:val="20"/>
          <w:sz w:val="32"/>
          <w:szCs w:val="32"/>
          <w:u w:val="none" w:color="auto"/>
        </w:rPr>
        <w:t>招商引</w:t>
      </w:r>
      <w:r>
        <w:rPr>
          <w:rFonts w:ascii="仿宋" w:hAnsi="仿宋" w:eastAsia="仿宋" w:cs="仿宋"/>
          <w:spacing w:val="20"/>
          <w:sz w:val="32"/>
          <w:szCs w:val="32"/>
        </w:rPr>
        <w:t>资签约项</w:t>
      </w:r>
      <w:r>
        <w:rPr>
          <w:rFonts w:ascii="仿宋" w:hAnsi="仿宋" w:eastAsia="仿宋" w:cs="仿宋"/>
          <w:spacing w:val="19"/>
          <w:sz w:val="32"/>
          <w:szCs w:val="32"/>
        </w:rPr>
        <w:t>目公布</w:t>
      </w:r>
      <w:r>
        <w:rPr>
          <w:rFonts w:ascii="仿宋" w:hAnsi="仿宋" w:eastAsia="仿宋" w:cs="仿宋"/>
          <w:spacing w:val="-22"/>
          <w:sz w:val="32"/>
          <w:szCs w:val="32"/>
        </w:rPr>
        <w:t>如下：</w:t>
      </w:r>
    </w:p>
    <w:p>
      <w:pPr>
        <w:keepNext w:val="0"/>
        <w:keepLines w:val="0"/>
        <w:pageBreakBefore w:val="0"/>
        <w:widowControl/>
        <w:kinsoku w:val="0"/>
        <w:wordWrap/>
        <w:overflowPunct/>
        <w:topLinePunct w:val="0"/>
        <w:autoSpaceDE w:val="0"/>
        <w:autoSpaceDN w:val="0"/>
        <w:bidi w:val="0"/>
        <w:adjustRightInd w:val="0"/>
        <w:snapToGrid w:val="0"/>
        <w:spacing w:before="211" w:line="360" w:lineRule="auto"/>
        <w:ind w:left="604"/>
        <w:textAlignment w:val="baseline"/>
        <w:outlineLvl w:val="0"/>
      </w:pPr>
      <w:r>
        <w:rPr>
          <w:rFonts w:ascii="黑体" w:hAnsi="黑体" w:eastAsia="黑体" w:cs="黑体"/>
          <w:b/>
          <w:bCs/>
          <w:spacing w:val="-6"/>
          <w:sz w:val="32"/>
          <w:szCs w:val="32"/>
        </w:rPr>
        <w:t>一、签约项目清单</w:t>
      </w:r>
    </w:p>
    <w:p/>
    <w:p>
      <w:pPr>
        <w:spacing w:line="101" w:lineRule="exact"/>
      </w:pPr>
    </w:p>
    <w:tbl>
      <w:tblPr>
        <w:tblStyle w:val="5"/>
        <w:tblW w:w="8796"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990"/>
        <w:gridCol w:w="1050"/>
        <w:gridCol w:w="1102"/>
        <w:gridCol w:w="4028"/>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31" w:type="dxa"/>
            <w:vAlign w:val="top"/>
          </w:tcPr>
          <w:p>
            <w:pPr>
              <w:spacing w:line="414" w:lineRule="auto"/>
              <w:jc w:val="center"/>
              <w:rPr>
                <w:rFonts w:ascii="Arial"/>
                <w:sz w:val="21"/>
              </w:rPr>
            </w:pPr>
          </w:p>
          <w:p>
            <w:pPr>
              <w:spacing w:before="68" w:line="221" w:lineRule="auto"/>
              <w:ind w:left="195"/>
              <w:jc w:val="center"/>
              <w:rPr>
                <w:rFonts w:ascii="宋体" w:hAnsi="宋体" w:eastAsia="宋体" w:cs="宋体"/>
                <w:sz w:val="21"/>
                <w:szCs w:val="21"/>
              </w:rPr>
            </w:pPr>
            <w:r>
              <w:rPr>
                <w:rFonts w:ascii="宋体" w:hAnsi="宋体" w:eastAsia="宋体" w:cs="宋体"/>
                <w:spacing w:val="6"/>
                <w:sz w:val="21"/>
                <w:szCs w:val="21"/>
              </w:rPr>
              <w:t>序号</w:t>
            </w:r>
          </w:p>
        </w:tc>
        <w:tc>
          <w:tcPr>
            <w:tcW w:w="990" w:type="dxa"/>
            <w:vAlign w:val="top"/>
          </w:tcPr>
          <w:p>
            <w:pPr>
              <w:spacing w:line="413" w:lineRule="auto"/>
              <w:jc w:val="center"/>
              <w:rPr>
                <w:rFonts w:ascii="Arial"/>
                <w:sz w:val="21"/>
              </w:rPr>
            </w:pPr>
          </w:p>
          <w:p>
            <w:pPr>
              <w:spacing w:before="68" w:line="220" w:lineRule="auto"/>
              <w:ind w:left="131"/>
              <w:jc w:val="center"/>
              <w:rPr>
                <w:rFonts w:ascii="宋体" w:hAnsi="宋体" w:eastAsia="宋体" w:cs="宋体"/>
                <w:sz w:val="21"/>
                <w:szCs w:val="21"/>
              </w:rPr>
            </w:pPr>
            <w:r>
              <w:rPr>
                <w:rFonts w:ascii="宋体" w:hAnsi="宋体" w:eastAsia="宋体" w:cs="宋体"/>
                <w:spacing w:val="2"/>
                <w:sz w:val="21"/>
                <w:szCs w:val="21"/>
              </w:rPr>
              <w:t>项目名称</w:t>
            </w:r>
          </w:p>
        </w:tc>
        <w:tc>
          <w:tcPr>
            <w:tcW w:w="1050" w:type="dxa"/>
            <w:vAlign w:val="top"/>
          </w:tcPr>
          <w:p>
            <w:pPr>
              <w:spacing w:line="413" w:lineRule="auto"/>
              <w:jc w:val="center"/>
              <w:rPr>
                <w:rFonts w:ascii="Arial"/>
                <w:sz w:val="21"/>
              </w:rPr>
            </w:pPr>
          </w:p>
          <w:p>
            <w:pPr>
              <w:spacing w:before="68" w:line="219" w:lineRule="auto"/>
              <w:jc w:val="both"/>
              <w:rPr>
                <w:rFonts w:ascii="宋体" w:hAnsi="宋体" w:eastAsia="宋体" w:cs="宋体"/>
                <w:sz w:val="21"/>
                <w:szCs w:val="21"/>
              </w:rPr>
            </w:pPr>
            <w:r>
              <w:rPr>
                <w:rFonts w:ascii="宋体" w:hAnsi="宋体" w:eastAsia="宋体" w:cs="宋体"/>
                <w:spacing w:val="-2"/>
                <w:sz w:val="21"/>
                <w:szCs w:val="21"/>
              </w:rPr>
              <w:t>省内签约方</w:t>
            </w:r>
          </w:p>
        </w:tc>
        <w:tc>
          <w:tcPr>
            <w:tcW w:w="1102" w:type="dxa"/>
            <w:vAlign w:val="top"/>
          </w:tcPr>
          <w:p>
            <w:pPr>
              <w:spacing w:line="413" w:lineRule="auto"/>
              <w:jc w:val="center"/>
              <w:rPr>
                <w:rFonts w:ascii="Arial"/>
                <w:sz w:val="21"/>
              </w:rPr>
            </w:pPr>
          </w:p>
          <w:p>
            <w:pPr>
              <w:spacing w:before="68" w:line="219" w:lineRule="auto"/>
              <w:jc w:val="both"/>
              <w:rPr>
                <w:rFonts w:ascii="宋体" w:hAnsi="宋体" w:eastAsia="宋体" w:cs="宋体"/>
                <w:sz w:val="21"/>
                <w:szCs w:val="21"/>
              </w:rPr>
            </w:pPr>
            <w:r>
              <w:rPr>
                <w:rFonts w:ascii="宋体" w:hAnsi="宋体" w:eastAsia="宋体" w:cs="宋体"/>
                <w:spacing w:val="-2"/>
                <w:sz w:val="21"/>
                <w:szCs w:val="21"/>
              </w:rPr>
              <w:t>省外签约方</w:t>
            </w:r>
          </w:p>
        </w:tc>
        <w:tc>
          <w:tcPr>
            <w:tcW w:w="4028" w:type="dxa"/>
            <w:vAlign w:val="top"/>
          </w:tcPr>
          <w:p>
            <w:pPr>
              <w:spacing w:before="293" w:line="540" w:lineRule="exact"/>
              <w:ind w:left="13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项目建设内容及规模</w:t>
            </w:r>
          </w:p>
        </w:tc>
        <w:tc>
          <w:tcPr>
            <w:tcW w:w="1095" w:type="dxa"/>
            <w:vAlign w:val="center"/>
          </w:tcPr>
          <w:p>
            <w:pPr>
              <w:spacing w:before="254" w:line="220" w:lineRule="auto"/>
              <w:jc w:val="both"/>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计划总投资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31" w:type="dxa"/>
            <w:vAlign w:val="center"/>
          </w:tcPr>
          <w:p>
            <w:pPr>
              <w:jc w:val="center"/>
              <w:rPr>
                <w:rFonts w:hint="eastAsia" w:ascii="Arial" w:eastAsia="宋体"/>
                <w:sz w:val="21"/>
                <w:lang w:val="en-US" w:eastAsia="zh-CN"/>
              </w:rPr>
            </w:pPr>
            <w:r>
              <w:rPr>
                <w:rFonts w:hint="eastAsia" w:eastAsia="宋体"/>
                <w:sz w:val="21"/>
                <w:lang w:val="en-US" w:eastAsia="zh-CN"/>
              </w:rPr>
              <w:t>1</w:t>
            </w:r>
          </w:p>
        </w:tc>
        <w:tc>
          <w:tcPr>
            <w:tcW w:w="990" w:type="dxa"/>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北京明邦双丰科技有限公司投资承德高新区仪器仪表制造基地项目</w:t>
            </w:r>
          </w:p>
        </w:tc>
        <w:tc>
          <w:tcPr>
            <w:tcW w:w="1050" w:type="dxa"/>
            <w:vAlign w:val="center"/>
          </w:tcPr>
          <w:p>
            <w:pPr>
              <w:jc w:val="center"/>
              <w:rPr>
                <w:rFonts w:hint="default" w:ascii="Arial" w:eastAsia="宋体"/>
                <w:sz w:val="21"/>
                <w:lang w:val="en-US" w:eastAsia="zh-CN"/>
              </w:rPr>
            </w:pPr>
            <w:r>
              <w:rPr>
                <w:rFonts w:hint="default" w:ascii="Arial" w:eastAsia="宋体"/>
                <w:sz w:val="21"/>
                <w:lang w:val="en-US" w:eastAsia="zh-CN"/>
              </w:rPr>
              <w:t>宏科（河北）科技有限公司</w:t>
            </w:r>
          </w:p>
        </w:tc>
        <w:tc>
          <w:tcPr>
            <w:tcW w:w="1102" w:type="dxa"/>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北京明邦双丰科技有限公司</w:t>
            </w:r>
          </w:p>
        </w:tc>
        <w:tc>
          <w:tcPr>
            <w:tcW w:w="4028"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iCs w:val="0"/>
                <w:snapToGrid w:val="0"/>
                <w:color w:val="000000"/>
                <w:kern w:val="0"/>
                <w:sz w:val="22"/>
                <w:szCs w:val="22"/>
                <w:u w:val="none"/>
                <w:lang w:val="en-US" w:eastAsia="zh-CN" w:bidi="ar"/>
              </w:rPr>
              <w:t>落地“联东U谷”1359平方米独栋厂房，投资主要为生产研发制造业务，以生产智能测量仪表、气体检测、气体监测仪器等仪器仪表及相关电子产品，储能监测及储能消防系统，计划投资生产线6条。达产后年产值约为3000-5000万元，税收不低于200万元，可解决就业30-50人左右</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1.2亿元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31" w:type="dxa"/>
            <w:vAlign w:val="center"/>
          </w:tcPr>
          <w:p>
            <w:pPr>
              <w:jc w:val="center"/>
              <w:rPr>
                <w:rFonts w:hint="default" w:eastAsia="宋体"/>
                <w:sz w:val="21"/>
                <w:lang w:val="en-US" w:eastAsia="zh-CN"/>
              </w:rPr>
            </w:pPr>
            <w:r>
              <w:rPr>
                <w:rFonts w:hint="eastAsia" w:eastAsia="宋体"/>
                <w:sz w:val="21"/>
                <w:lang w:val="en-US" w:eastAsia="zh-CN"/>
              </w:rPr>
              <w:t>2</w:t>
            </w:r>
          </w:p>
        </w:tc>
        <w:tc>
          <w:tcPr>
            <w:tcW w:w="99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天津洁源新能投资有限公司投资承德高新区洁源白河南-6MW分布式光伏项目</w:t>
            </w:r>
          </w:p>
        </w:tc>
        <w:tc>
          <w:tcPr>
            <w:tcW w:w="1050" w:type="dxa"/>
            <w:vAlign w:val="center"/>
          </w:tcPr>
          <w:p>
            <w:pPr>
              <w:jc w:val="center"/>
              <w:rPr>
                <w:rFonts w:hint="eastAsia" w:eastAsia="宋体"/>
                <w:sz w:val="21"/>
                <w:lang w:val="en-US" w:eastAsia="zh-CN"/>
              </w:rPr>
            </w:pPr>
            <w:r>
              <w:rPr>
                <w:rFonts w:hint="eastAsia" w:eastAsia="宋体"/>
                <w:sz w:val="21"/>
                <w:lang w:val="en-US" w:eastAsia="zh-CN"/>
              </w:rPr>
              <w:t>承德高新区洁源分布式光伏发电有限公司</w:t>
            </w:r>
          </w:p>
        </w:tc>
        <w:tc>
          <w:tcPr>
            <w:tcW w:w="1102" w:type="dxa"/>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天津洁源新能投资有限公司</w:t>
            </w:r>
          </w:p>
        </w:tc>
        <w:tc>
          <w:tcPr>
            <w:tcW w:w="4028"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项目为地面分布式光伏项目，场址位于承德市高新区上板城镇白河南村龙潭沟附近一号地块，总装机容量为5.99MW。项目拟选用光伏组件为MYMP-72HD-535-555，新上升压变压器及其他附属设备，拟采用“全额上网”的模式就近接入电网，具体接入方式以电网批复为准。</w:t>
            </w:r>
          </w:p>
        </w:tc>
        <w:tc>
          <w:tcPr>
            <w:tcW w:w="1095" w:type="dxa"/>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0.6亿元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31" w:type="dxa"/>
            <w:vAlign w:val="center"/>
          </w:tcPr>
          <w:p>
            <w:pPr>
              <w:jc w:val="center"/>
              <w:rPr>
                <w:rFonts w:hint="default" w:eastAsia="宋体"/>
                <w:sz w:val="21"/>
                <w:lang w:val="en-US" w:eastAsia="zh-CN"/>
              </w:rPr>
            </w:pPr>
            <w:r>
              <w:rPr>
                <w:rFonts w:hint="eastAsia" w:eastAsia="宋体"/>
                <w:sz w:val="21"/>
                <w:lang w:val="en-US" w:eastAsia="zh-CN"/>
              </w:rPr>
              <w:t>3</w:t>
            </w:r>
          </w:p>
        </w:tc>
        <w:tc>
          <w:tcPr>
            <w:tcW w:w="99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山西胜村光学有限公司投资承德高新区护眼灯生产线项目</w:t>
            </w:r>
          </w:p>
        </w:tc>
        <w:tc>
          <w:tcPr>
            <w:tcW w:w="1050" w:type="dxa"/>
            <w:vAlign w:val="center"/>
          </w:tcPr>
          <w:p>
            <w:pPr>
              <w:jc w:val="center"/>
              <w:rPr>
                <w:rFonts w:hint="eastAsia" w:ascii="Arial" w:hAnsi="Arial" w:eastAsia="宋体" w:cs="Arial"/>
                <w:snapToGrid w:val="0"/>
                <w:color w:val="000000"/>
                <w:kern w:val="0"/>
                <w:sz w:val="21"/>
                <w:szCs w:val="21"/>
                <w:lang w:val="en-US" w:eastAsia="zh-CN"/>
              </w:rPr>
            </w:pPr>
            <w:r>
              <w:rPr>
                <w:rFonts w:hint="eastAsia" w:ascii="宋体" w:hAnsi="宋体" w:eastAsia="宋体" w:cs="宋体"/>
                <w:i w:val="0"/>
                <w:iCs w:val="0"/>
                <w:snapToGrid w:val="0"/>
                <w:color w:val="000000"/>
                <w:kern w:val="0"/>
                <w:sz w:val="22"/>
                <w:szCs w:val="22"/>
                <w:u w:val="none"/>
                <w:lang w:val="en-US" w:eastAsia="zh-CN" w:bidi="ar"/>
              </w:rPr>
              <w:t>山西胜村光学有限公司</w:t>
            </w:r>
          </w:p>
        </w:tc>
        <w:tc>
          <w:tcPr>
            <w:tcW w:w="110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山西胜村光学有限公司</w:t>
            </w:r>
          </w:p>
        </w:tc>
        <w:tc>
          <w:tcPr>
            <w:tcW w:w="4028"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在承德高新区投资5000万元，主要用于生产学生护眼灯，预计年营业收入5000万元以上，可实现税收500万元以上。双方约定共同推动创建“全国儿童青少年近视防控基地”、争列“教育部学生护眼产品采购白名单”，并实现三年内公司在北交所上市。</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0.5亿元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531" w:type="dxa"/>
            <w:vAlign w:val="center"/>
          </w:tcPr>
          <w:p>
            <w:pPr>
              <w:jc w:val="center"/>
              <w:rPr>
                <w:rFonts w:hint="eastAsia" w:eastAsia="宋体"/>
                <w:sz w:val="21"/>
                <w:lang w:val="en-US" w:eastAsia="zh-CN"/>
              </w:rPr>
            </w:pPr>
          </w:p>
        </w:tc>
        <w:tc>
          <w:tcPr>
            <w:tcW w:w="990"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海南弘腾进出口贸易有限公司投资承德高新区绿色新型复合材料生产基地项目</w:t>
            </w:r>
          </w:p>
        </w:tc>
        <w:tc>
          <w:tcPr>
            <w:tcW w:w="1050" w:type="dxa"/>
            <w:vAlign w:val="center"/>
          </w:tcPr>
          <w:p>
            <w:pPr>
              <w:jc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海南弘腾进出口贸</w:t>
            </w:r>
            <w:bookmarkStart w:id="0" w:name="_GoBack"/>
            <w:bookmarkEnd w:id="0"/>
            <w:r>
              <w:rPr>
                <w:rFonts w:hint="eastAsia" w:ascii="宋体" w:hAnsi="宋体" w:eastAsia="宋体" w:cs="宋体"/>
                <w:i w:val="0"/>
                <w:iCs w:val="0"/>
                <w:snapToGrid w:val="0"/>
                <w:color w:val="000000"/>
                <w:kern w:val="0"/>
                <w:sz w:val="22"/>
                <w:szCs w:val="22"/>
                <w:u w:val="none"/>
                <w:lang w:val="en-US" w:eastAsia="zh-CN" w:bidi="ar"/>
              </w:rPr>
              <w:t>易有限公司</w:t>
            </w:r>
          </w:p>
        </w:tc>
        <w:tc>
          <w:tcPr>
            <w:tcW w:w="1102" w:type="dxa"/>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泓之木高新材料承德股份有限公司</w:t>
            </w:r>
          </w:p>
        </w:tc>
        <w:tc>
          <w:tcPr>
            <w:tcW w:w="4028" w:type="dxa"/>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建设承德绿色环保新型复合材料生产基地，项目占地35.6亩，计划投资1亿元，建设木塑生产线40条，设计产能年产木塑2万吨。项目达产后，预计年收入1.2亿元，纳税1000万元，项目建设周期约为一年。</w:t>
            </w:r>
          </w:p>
        </w:tc>
        <w:tc>
          <w:tcPr>
            <w:tcW w:w="1095" w:type="dxa"/>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1亿元</w:t>
            </w:r>
          </w:p>
        </w:tc>
      </w:tr>
    </w:tbl>
    <w:p>
      <w:pPr>
        <w:keepNext w:val="0"/>
        <w:keepLines w:val="0"/>
        <w:pageBreakBefore w:val="0"/>
        <w:widowControl/>
        <w:kinsoku w:val="0"/>
        <w:wordWrap/>
        <w:overflowPunct/>
        <w:topLinePunct w:val="0"/>
        <w:autoSpaceDE w:val="0"/>
        <w:autoSpaceDN w:val="0"/>
        <w:bidi w:val="0"/>
        <w:adjustRightInd w:val="0"/>
        <w:snapToGrid w:val="0"/>
        <w:spacing w:before="170" w:line="360" w:lineRule="auto"/>
        <w:ind w:left="604"/>
        <w:textAlignment w:val="baseline"/>
        <w:outlineLvl w:val="0"/>
        <w:rPr>
          <w:rFonts w:ascii="黑体" w:hAnsi="黑体" w:eastAsia="黑体" w:cs="黑体"/>
          <w:b/>
          <w:bCs/>
          <w:spacing w:val="-24"/>
          <w:sz w:val="32"/>
          <w:szCs w:val="32"/>
        </w:rPr>
      </w:pPr>
      <w:r>
        <w:rPr>
          <w:rFonts w:ascii="黑体" w:hAnsi="黑体" w:eastAsia="黑体" w:cs="黑体"/>
          <w:b/>
          <w:bCs/>
          <w:spacing w:val="-24"/>
          <w:sz w:val="32"/>
          <w:szCs w:val="32"/>
        </w:rPr>
        <w:t>二、</w:t>
      </w:r>
      <w:r>
        <w:rPr>
          <w:rFonts w:ascii="黑体" w:hAnsi="黑体" w:eastAsia="黑体" w:cs="黑体"/>
          <w:spacing w:val="-59"/>
          <w:sz w:val="32"/>
          <w:szCs w:val="32"/>
        </w:rPr>
        <w:t xml:space="preserve"> </w:t>
      </w:r>
      <w:r>
        <w:rPr>
          <w:rFonts w:ascii="黑体" w:hAnsi="黑体" w:eastAsia="黑体" w:cs="黑体"/>
          <w:b/>
          <w:bCs/>
          <w:spacing w:val="-24"/>
          <w:sz w:val="32"/>
          <w:szCs w:val="32"/>
        </w:rPr>
        <w:t>受理方式</w:t>
      </w:r>
    </w:p>
    <w:p>
      <w:pPr>
        <w:keepNext w:val="0"/>
        <w:keepLines w:val="0"/>
        <w:pageBreakBefore w:val="0"/>
        <w:widowControl/>
        <w:kinsoku w:val="0"/>
        <w:wordWrap/>
        <w:overflowPunct/>
        <w:topLinePunct w:val="0"/>
        <w:autoSpaceDE w:val="0"/>
        <w:autoSpaceDN w:val="0"/>
        <w:bidi w:val="0"/>
        <w:adjustRightInd w:val="0"/>
        <w:snapToGrid w:val="0"/>
        <w:spacing w:before="170" w:line="360" w:lineRule="auto"/>
        <w:ind w:left="604"/>
        <w:textAlignment w:val="baseline"/>
        <w:outlineLvl w:val="0"/>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单位和个人可通过邮件、来电等形式反映上述项目有关情况和问题。</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承德市受理联系方式：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座机：03142051509</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手机：15632406628 </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邮箱：cdstzcjj@163.com</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省商务厅受理联系方式：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座机：0311-87909512</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手机：18303388323</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rPr>
      </w:pPr>
      <w:r>
        <w:rPr>
          <w:rFonts w:hint="eastAsia" w:ascii="仿宋" w:hAnsi="仿宋" w:eastAsia="仿宋" w:cs="仿宋"/>
          <w:sz w:val="32"/>
          <w:szCs w:val="32"/>
          <w:u w:val="none" w:color="auto"/>
          <w:lang w:val="en-US" w:eastAsia="zh-CN"/>
        </w:rPr>
        <w:t xml:space="preserve">    邮箱：hbtcj3220163.com</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仿宋" w:hAnsi="仿宋" w:eastAsia="仿宋" w:cs="仿宋"/>
          <w:sz w:val="32"/>
          <w:szCs w:val="32"/>
          <w:u w:val="none" w:color="auto"/>
          <w:lang w:val="en-US" w:eastAsia="zh-CN"/>
        </w:rPr>
      </w:pPr>
      <w:r>
        <w:rPr>
          <w:rFonts w:hint="eastAsia" w:ascii="仿宋" w:hAnsi="仿宋" w:eastAsia="仿宋" w:cs="仿宋"/>
          <w:sz w:val="32"/>
          <w:szCs w:val="32"/>
          <w:u w:val="none" w:color="auto"/>
          <w:lang w:val="en-US" w:eastAsia="zh-CN"/>
        </w:rPr>
        <w:t xml:space="preserve">                </w:t>
      </w:r>
    </w:p>
    <w:sectPr>
      <w:footerReference r:id="rId5" w:type="default"/>
      <w:pgSz w:w="11920" w:h="16880"/>
      <w:pgMar w:top="1434" w:right="1788" w:bottom="1207" w:left="1788" w:header="0" w:footer="9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81"/>
      <w:rPr>
        <w:rFonts w:ascii="宋体" w:hAnsi="宋体" w:eastAsia="宋体" w:cs="宋体"/>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GU1MTE2ZDM2M2MwYzJkOTE1MzliZWUzMjA3NDFkYjgifQ=="/>
  </w:docVars>
  <w:rsids>
    <w:rsidRoot w:val="00000000"/>
    <w:rsid w:val="02AE1145"/>
    <w:rsid w:val="03692F3E"/>
    <w:rsid w:val="0572453D"/>
    <w:rsid w:val="0CB435AB"/>
    <w:rsid w:val="0D8B0A48"/>
    <w:rsid w:val="0DE800EA"/>
    <w:rsid w:val="187A3D30"/>
    <w:rsid w:val="1B3C41EC"/>
    <w:rsid w:val="1D7135B0"/>
    <w:rsid w:val="1F3D19AF"/>
    <w:rsid w:val="262F0703"/>
    <w:rsid w:val="310E6373"/>
    <w:rsid w:val="3ACF7F42"/>
    <w:rsid w:val="404843AC"/>
    <w:rsid w:val="485D0ABD"/>
    <w:rsid w:val="58DA5FD1"/>
    <w:rsid w:val="602A2D2E"/>
    <w:rsid w:val="642B5714"/>
    <w:rsid w:val="792564D0"/>
    <w:rsid w:val="79444798"/>
    <w:rsid w:val="7AE834AC"/>
    <w:rsid w:val="7D7D04EA"/>
    <w:rsid w:val="7F3D0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2023-09-13T09:34:00Z</dcterms:created>
  <dc:creator>Kingsoft-PDF</dc:creator>
  <cp:lastModifiedBy>李星旭</cp:lastModifiedBy>
  <cp:lastPrinted>2023-10-12T01:47:00Z</cp:lastPrinted>
  <dcterms:modified xsi:type="dcterms:W3CDTF">2024-03-21T04:24:47Z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2023-09-13T09:34:26Z</vt:filetime>
  </property>
  <property fmtid="{D5CDD505-2E9C-101B-9397-08002B2CF9AE}" pid="4" name="UsrData">
    <vt:lpwstr>650111a05e0b5e001fb235ffwl</vt:lpwstr>
  </property>
  <property fmtid="{D5CDD505-2E9C-101B-9397-08002B2CF9AE}" pid="5" name="KSOProductBuildVer">
    <vt:lpwstr>2052-12.1.0.16388</vt:lpwstr>
  </property>
  <property fmtid="{D5CDD505-2E9C-101B-9397-08002B2CF9AE}" pid="6" name="ICV">
    <vt:lpwstr>30A5734AAB434E058B4131FBD2B66EC2_13</vt:lpwstr>
  </property>
</Properties>
</file>